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napToGrid w:val="0"/>
          <w:kern w:val="0"/>
          <w:sz w:val="44"/>
          <w:szCs w:val="44"/>
        </w:rPr>
      </w:pPr>
    </w:p>
    <w:p>
      <w:pPr>
        <w:spacing w:line="360" w:lineRule="auto"/>
        <w:jc w:val="center"/>
        <w:rPr>
          <w:rFonts w:ascii="宋体" w:hAnsi="宋体" w:cs="宋体"/>
          <w:b/>
          <w:snapToGrid w:val="0"/>
          <w:kern w:val="0"/>
          <w:sz w:val="48"/>
          <w:szCs w:val="44"/>
        </w:rPr>
      </w:pPr>
      <w:bookmarkStart w:id="0" w:name="_Hlk33000741"/>
      <w:r>
        <w:rPr>
          <w:rFonts w:hint="eastAsia" w:ascii="宋体" w:hAnsi="宋体" w:cs="宋体"/>
          <w:b/>
          <w:snapToGrid w:val="0"/>
          <w:kern w:val="0"/>
          <w:sz w:val="48"/>
          <w:szCs w:val="44"/>
        </w:rPr>
        <w:t>昆明高新区学校品质提升工程（高新区各公办学校护眼灯更换）一标段</w:t>
      </w:r>
    </w:p>
    <w:bookmarkEnd w:id="0"/>
    <w:p>
      <w:pPr>
        <w:spacing w:line="360" w:lineRule="auto"/>
        <w:jc w:val="center"/>
        <w:rPr>
          <w:rFonts w:ascii="宋体" w:hAnsi="宋体" w:cs="宋体"/>
          <w:snapToGrid w:val="0"/>
          <w:kern w:val="0"/>
          <w:sz w:val="31"/>
          <w:szCs w:val="31"/>
        </w:rPr>
      </w:pPr>
    </w:p>
    <w:p>
      <w:pPr>
        <w:spacing w:line="360" w:lineRule="auto"/>
        <w:jc w:val="center"/>
        <w:rPr>
          <w:rFonts w:ascii="宋体" w:hAnsi="宋体" w:cs="宋体"/>
          <w:snapToGrid w:val="0"/>
          <w:kern w:val="0"/>
          <w:sz w:val="31"/>
          <w:szCs w:val="31"/>
        </w:rPr>
      </w:pPr>
    </w:p>
    <w:p>
      <w:pPr>
        <w:pStyle w:val="21"/>
        <w:rPr>
          <w:rFonts w:ascii="宋体" w:hAnsi="宋体" w:cs="宋体"/>
        </w:rPr>
      </w:pPr>
    </w:p>
    <w:p>
      <w:pPr>
        <w:spacing w:line="360" w:lineRule="auto"/>
        <w:rPr>
          <w:rFonts w:ascii="宋体" w:hAnsi="宋体" w:cs="宋体"/>
          <w:snapToGrid w:val="0"/>
          <w:kern w:val="0"/>
          <w:sz w:val="31"/>
          <w:szCs w:val="31"/>
        </w:rPr>
      </w:pPr>
    </w:p>
    <w:p>
      <w:pPr>
        <w:jc w:val="center"/>
        <w:rPr>
          <w:rFonts w:ascii="宋体" w:hAnsi="宋体" w:cs="宋体"/>
          <w:b/>
          <w:sz w:val="18"/>
          <w:szCs w:val="18"/>
        </w:rPr>
      </w:pPr>
      <w:r>
        <w:rPr>
          <w:rFonts w:hint="eastAsia" w:ascii="宋体" w:hAnsi="宋体" w:cs="宋体"/>
          <w:b/>
          <w:bCs/>
          <w:sz w:val="84"/>
          <w:szCs w:val="84"/>
        </w:rPr>
        <w:t>招 标 文 件</w:t>
      </w:r>
    </w:p>
    <w:p>
      <w:pPr>
        <w:spacing w:line="360" w:lineRule="auto"/>
        <w:jc w:val="center"/>
        <w:rPr>
          <w:rFonts w:ascii="宋体" w:hAnsi="宋体" w:cs="宋体"/>
          <w:b/>
          <w:sz w:val="32"/>
          <w:szCs w:val="32"/>
        </w:rPr>
      </w:pPr>
      <w:r>
        <w:rPr>
          <w:rFonts w:hint="eastAsia" w:ascii="宋体" w:hAnsi="宋体" w:cs="宋体"/>
          <w:b/>
          <w:sz w:val="32"/>
          <w:szCs w:val="32"/>
        </w:rPr>
        <w:t>项目编号：RCZX-2022-35-01</w:t>
      </w:r>
    </w:p>
    <w:p>
      <w:pPr>
        <w:pStyle w:val="8"/>
        <w:jc w:val="center"/>
        <w:rPr>
          <w:rFonts w:hAnsi="宋体" w:cs="宋体"/>
          <w:b/>
          <w:sz w:val="32"/>
          <w:szCs w:val="32"/>
        </w:rPr>
      </w:pPr>
      <w:r>
        <w:rPr>
          <w:rFonts w:hint="eastAsia" w:hAnsi="宋体" w:cs="宋体"/>
        </w:rPr>
        <w:drawing>
          <wp:inline distT="0" distB="0" distL="114300" distR="114300">
            <wp:extent cx="2821305" cy="1042670"/>
            <wp:effectExtent l="0" t="0" r="1333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rcRect l="8661" t="35242" r="31067" b="30824"/>
                    <a:stretch>
                      <a:fillRect/>
                    </a:stretch>
                  </pic:blipFill>
                  <pic:spPr>
                    <a:xfrm>
                      <a:off x="0" y="0"/>
                      <a:ext cx="2821305" cy="1042670"/>
                    </a:xfrm>
                    <a:prstGeom prst="rect">
                      <a:avLst/>
                    </a:prstGeom>
                    <a:noFill/>
                    <a:ln>
                      <a:noFill/>
                    </a:ln>
                  </pic:spPr>
                </pic:pic>
              </a:graphicData>
            </a:graphic>
          </wp:inline>
        </w:drawing>
      </w:r>
    </w:p>
    <w:p>
      <w:pPr>
        <w:rPr>
          <w:rFonts w:ascii="宋体" w:hAnsi="宋体" w:cs="宋体"/>
          <w:b/>
          <w:sz w:val="32"/>
          <w:szCs w:val="32"/>
        </w:rPr>
      </w:pPr>
    </w:p>
    <w:p>
      <w:pPr>
        <w:pStyle w:val="8"/>
        <w:rPr>
          <w:rFonts w:hAnsi="宋体" w:cs="宋体"/>
        </w:rPr>
      </w:pPr>
    </w:p>
    <w:p>
      <w:pPr>
        <w:spacing w:line="360" w:lineRule="auto"/>
        <w:rPr>
          <w:rFonts w:ascii="宋体" w:hAnsi="宋体" w:cs="宋体"/>
          <w:snapToGrid w:val="0"/>
          <w:kern w:val="0"/>
          <w:sz w:val="43"/>
          <w:szCs w:val="43"/>
        </w:rPr>
      </w:pPr>
    </w:p>
    <w:p>
      <w:pPr>
        <w:pStyle w:val="8"/>
        <w:rPr>
          <w:rFonts w:hAnsi="宋体" w:cs="宋体"/>
        </w:rPr>
      </w:pPr>
    </w:p>
    <w:p>
      <w:pPr>
        <w:spacing w:before="312" w:beforeLines="100" w:after="312" w:afterLines="100" w:line="480" w:lineRule="auto"/>
        <w:ind w:left="420" w:firstLine="420"/>
        <w:jc w:val="left"/>
        <w:rPr>
          <w:rFonts w:ascii="宋体" w:hAnsi="宋体" w:cs="宋体"/>
          <w:b/>
          <w:sz w:val="32"/>
          <w:szCs w:val="32"/>
          <w:u w:val="single"/>
        </w:rPr>
      </w:pPr>
      <w:r>
        <w:rPr>
          <w:rFonts w:hint="eastAsia" w:ascii="宋体" w:hAnsi="宋体" w:cs="宋体"/>
          <w:b/>
          <w:sz w:val="32"/>
          <w:szCs w:val="32"/>
        </w:rPr>
        <w:t>采   购   人：</w:t>
      </w:r>
      <w:r>
        <w:rPr>
          <w:rFonts w:hint="eastAsia" w:ascii="宋体" w:hAnsi="宋体" w:cs="宋体"/>
          <w:b/>
          <w:bCs/>
          <w:sz w:val="32"/>
          <w:szCs w:val="32"/>
          <w:u w:val="single"/>
        </w:rPr>
        <w:t>昆明高新技术产业开发区企业综合服务部</w:t>
      </w:r>
    </w:p>
    <w:p>
      <w:pPr>
        <w:spacing w:before="312" w:beforeLines="100" w:after="312" w:afterLines="100" w:line="480" w:lineRule="auto"/>
        <w:ind w:left="420" w:firstLine="420"/>
        <w:jc w:val="left"/>
        <w:rPr>
          <w:rFonts w:ascii="宋体" w:hAnsi="宋体" w:cs="宋体"/>
          <w:b/>
          <w:sz w:val="32"/>
          <w:szCs w:val="32"/>
          <w:u w:val="single"/>
        </w:rPr>
      </w:pPr>
      <w:r>
        <w:rPr>
          <w:rFonts w:hint="eastAsia" w:ascii="宋体" w:hAnsi="宋体" w:cs="宋体"/>
          <w:b/>
          <w:sz w:val="32"/>
          <w:szCs w:val="32"/>
        </w:rPr>
        <w:t>采购代理机构：</w:t>
      </w:r>
      <w:r>
        <w:rPr>
          <w:rFonts w:hint="eastAsia" w:ascii="宋体" w:hAnsi="宋体" w:cs="宋体"/>
          <w:b/>
          <w:sz w:val="32"/>
          <w:szCs w:val="32"/>
          <w:u w:val="single"/>
        </w:rPr>
        <w:t>云南润诚管理咨询有限责任公司（电子签章）</w:t>
      </w:r>
    </w:p>
    <w:p>
      <w:pPr>
        <w:snapToGrid w:val="0"/>
        <w:spacing w:before="312" w:beforeLines="100" w:after="312" w:afterLines="100" w:line="480" w:lineRule="auto"/>
        <w:ind w:left="420" w:firstLine="420"/>
        <w:jc w:val="left"/>
        <w:rPr>
          <w:rFonts w:ascii="宋体" w:hAnsi="宋体" w:cs="宋体"/>
          <w:b/>
          <w:sz w:val="18"/>
          <w:szCs w:val="32"/>
          <w:u w:val="single"/>
        </w:rPr>
      </w:pPr>
      <w:r>
        <w:rPr>
          <w:rFonts w:hint="eastAsia" w:ascii="宋体" w:hAnsi="宋体" w:cs="宋体"/>
          <w:b/>
          <w:sz w:val="32"/>
          <w:szCs w:val="32"/>
        </w:rPr>
        <w:t>日        期：</w:t>
      </w:r>
      <w:r>
        <w:rPr>
          <w:rFonts w:hint="eastAsia" w:ascii="宋体" w:hAnsi="宋体" w:cs="宋体"/>
          <w:b/>
          <w:sz w:val="32"/>
          <w:szCs w:val="32"/>
          <w:u w:val="single"/>
        </w:rPr>
        <w:t>2022年11月</w:t>
      </w:r>
    </w:p>
    <w:p>
      <w:pPr>
        <w:spacing w:line="276" w:lineRule="auto"/>
        <w:jc w:val="center"/>
        <w:rPr>
          <w:rFonts w:ascii="宋体" w:hAnsi="宋体" w:cs="宋体"/>
          <w:b/>
          <w:bCs/>
          <w:snapToGrid w:val="0"/>
          <w:kern w:val="0"/>
          <w:sz w:val="49"/>
          <w:szCs w:val="49"/>
        </w:rPr>
        <w:sectPr>
          <w:footerReference r:id="rId5" w:type="first"/>
          <w:headerReference r:id="rId3" w:type="default"/>
          <w:footerReference r:id="rId4" w:type="default"/>
          <w:pgSz w:w="11906" w:h="16838"/>
          <w:pgMar w:top="1440" w:right="1080" w:bottom="1440" w:left="1080" w:header="851" w:footer="992" w:gutter="0"/>
          <w:pgNumType w:fmt="numberInDash" w:start="0"/>
          <w:cols w:space="708" w:num="1"/>
          <w:titlePg/>
          <w:docGrid w:type="lines" w:linePitch="312" w:charSpace="0"/>
        </w:sectPr>
      </w:pPr>
    </w:p>
    <w:p>
      <w:pPr>
        <w:pStyle w:val="21"/>
        <w:numPr>
          <w:ilvl w:val="0"/>
          <w:numId w:val="1"/>
        </w:numPr>
        <w:ind w:firstLine="0" w:firstLineChars="0"/>
        <w:jc w:val="center"/>
        <w:outlineLvl w:val="1"/>
        <w:rPr>
          <w:rFonts w:ascii="宋体" w:hAnsi="宋体" w:cs="宋体"/>
          <w:b/>
          <w:bCs/>
          <w:snapToGrid w:val="0"/>
          <w:kern w:val="0"/>
          <w:sz w:val="32"/>
          <w:szCs w:val="32"/>
        </w:rPr>
      </w:pPr>
      <w:bookmarkStart w:id="1" w:name="_Toc24423"/>
      <w:bookmarkStart w:id="2" w:name="_Toc19271"/>
      <w:bookmarkStart w:id="3" w:name="_Toc12739"/>
      <w:bookmarkStart w:id="4" w:name="_Toc973"/>
      <w:bookmarkStart w:id="5" w:name="_Toc13079"/>
      <w:bookmarkStart w:id="6" w:name="_Toc11768"/>
      <w:bookmarkStart w:id="7" w:name="_Toc25810"/>
      <w:bookmarkStart w:id="8" w:name="_Toc15592"/>
      <w:bookmarkStart w:id="9" w:name="_Toc118470078"/>
      <w:bookmarkStart w:id="10" w:name="_Toc7965"/>
      <w:r>
        <w:rPr>
          <w:rFonts w:hint="eastAsia" w:ascii="宋体" w:hAnsi="宋体" w:cs="宋体"/>
          <w:b/>
          <w:bCs/>
          <w:snapToGrid w:val="0"/>
          <w:kern w:val="0"/>
          <w:sz w:val="32"/>
          <w:szCs w:val="32"/>
        </w:rPr>
        <w:t>采购需求</w:t>
      </w:r>
      <w:bookmarkEnd w:id="1"/>
      <w:bookmarkEnd w:id="2"/>
      <w:bookmarkEnd w:id="3"/>
      <w:bookmarkEnd w:id="4"/>
      <w:bookmarkEnd w:id="5"/>
      <w:bookmarkEnd w:id="6"/>
      <w:bookmarkEnd w:id="7"/>
      <w:bookmarkEnd w:id="8"/>
      <w:bookmarkEnd w:id="9"/>
      <w:bookmarkEnd w:id="10"/>
      <w:bookmarkStart w:id="11" w:name="_Toc22773"/>
      <w:bookmarkStart w:id="12" w:name="_Toc11779"/>
      <w:bookmarkStart w:id="13" w:name="_Toc7172"/>
      <w:bookmarkStart w:id="14" w:name="_Toc14272"/>
    </w:p>
    <w:p>
      <w:pPr>
        <w:keepNext/>
        <w:keepLines/>
        <w:spacing w:before="120" w:after="120" w:line="360" w:lineRule="auto"/>
        <w:ind w:left="720" w:hanging="720"/>
        <w:outlineLvl w:val="2"/>
        <w:rPr>
          <w:b/>
          <w:bCs/>
          <w:sz w:val="22"/>
          <w:szCs w:val="22"/>
        </w:rPr>
      </w:pPr>
      <w:bookmarkStart w:id="15" w:name="_Toc118470079"/>
      <w:r>
        <w:rPr>
          <w:rFonts w:hint="eastAsia"/>
          <w:b/>
          <w:bCs/>
          <w:sz w:val="22"/>
          <w:szCs w:val="22"/>
        </w:rPr>
        <w:t>（一）采购标的需实现的功能或者目标，以及为落实政府采购政策需满足的要求；</w:t>
      </w:r>
      <w:bookmarkEnd w:id="15"/>
      <w:r>
        <w:rPr>
          <w:rFonts w:hint="eastAsia"/>
          <w:b/>
          <w:bCs/>
          <w:sz w:val="22"/>
          <w:szCs w:val="22"/>
        </w:rPr>
        <w:t xml:space="preserve"> </w:t>
      </w:r>
    </w:p>
    <w:p>
      <w:pPr>
        <w:spacing w:line="360" w:lineRule="auto"/>
        <w:ind w:firstLine="420" w:firstLineChars="200"/>
        <w:jc w:val="left"/>
        <w:rPr>
          <w:rFonts w:ascii="Arial" w:hAnsi="Arial" w:cs="Arial"/>
          <w:bCs/>
          <w:shd w:val="clear" w:color="auto" w:fill="FFFFFF"/>
        </w:rPr>
      </w:pPr>
      <w:r>
        <w:rPr>
          <w:rFonts w:hint="eastAsia" w:ascii="Arial" w:hAnsi="Arial" w:cs="Arial"/>
          <w:bCs/>
          <w:shd w:val="clear" w:color="auto" w:fill="FFFFFF"/>
        </w:rPr>
        <w:t>昆明高新区区属学校教室照明情况低于国家标准，目前仍采用荧光灯作为照明灯具。在阴雨天气、使用多媒体教学及晚自习的情况下，照度、显色指数均远低于国家标准要求。通过对照明环境以及校舍环境的改造，能够为广大学生提供良好的学习和成长环境，对教师的教学有较大的帮助和提升。能够营造良好的育人环境，提升学校的办学层次，促进住建部校区教育均衡、健康、优质发展，构筑起区域性特色教育、优质教育，全面推动学生、教师和学校三位一体的和谐发展，全面推进素质教育，全面提高教育质量。</w:t>
      </w:r>
    </w:p>
    <w:p>
      <w:pPr>
        <w:keepNext/>
        <w:keepLines/>
        <w:spacing w:before="120" w:after="120" w:line="360" w:lineRule="auto"/>
        <w:ind w:left="720" w:hanging="720"/>
        <w:outlineLvl w:val="2"/>
        <w:rPr>
          <w:b/>
          <w:bCs/>
          <w:sz w:val="22"/>
          <w:szCs w:val="22"/>
        </w:rPr>
      </w:pPr>
      <w:bookmarkStart w:id="16" w:name="_Toc118470080"/>
      <w:r>
        <w:rPr>
          <w:rFonts w:hint="eastAsia"/>
          <w:b/>
          <w:bCs/>
          <w:sz w:val="22"/>
          <w:szCs w:val="22"/>
        </w:rPr>
        <w:t>（二）采购标的需执行的国家相关标准、行业标准、地方标准或者其他标准、规范；</w:t>
      </w:r>
      <w:bookmarkEnd w:id="16"/>
      <w:r>
        <w:rPr>
          <w:rFonts w:hint="eastAsia"/>
          <w:b/>
          <w:bCs/>
          <w:sz w:val="22"/>
          <w:szCs w:val="22"/>
        </w:rPr>
        <w:t xml:space="preserve"> </w:t>
      </w:r>
    </w:p>
    <w:p>
      <w:pPr>
        <w:spacing w:line="360" w:lineRule="auto"/>
        <w:jc w:val="left"/>
        <w:rPr>
          <w:rFonts w:ascii="Arial" w:hAnsi="Arial" w:cs="Arial"/>
          <w:bCs/>
          <w:shd w:val="clear" w:color="auto" w:fill="FFFFFF"/>
        </w:rPr>
      </w:pPr>
      <w:r>
        <w:rPr>
          <w:rFonts w:hint="eastAsia" w:ascii="Arial" w:hAnsi="Arial" w:cs="Arial"/>
          <w:bCs/>
          <w:shd w:val="clear" w:color="auto" w:fill="FFFFFF"/>
        </w:rPr>
        <w:t>1、质量要求合格；</w:t>
      </w:r>
    </w:p>
    <w:p>
      <w:pPr>
        <w:spacing w:line="360" w:lineRule="auto"/>
        <w:jc w:val="left"/>
        <w:rPr>
          <w:rFonts w:ascii="Arial" w:hAnsi="Arial" w:cs="Arial"/>
          <w:bCs/>
          <w:shd w:val="clear" w:color="auto" w:fill="FFFFFF"/>
        </w:rPr>
      </w:pPr>
      <w:r>
        <w:rPr>
          <w:rFonts w:ascii="Arial" w:hAnsi="Arial" w:cs="Arial"/>
          <w:bCs/>
          <w:shd w:val="clear" w:color="auto" w:fill="FFFFFF"/>
        </w:rPr>
        <w:t>2、</w:t>
      </w:r>
      <w:r>
        <w:rPr>
          <w:rFonts w:hint="eastAsia" w:ascii="Arial" w:hAnsi="Arial" w:cs="Arial"/>
          <w:bCs/>
          <w:shd w:val="clear" w:color="auto" w:fill="FFFFFF"/>
        </w:rPr>
        <w:t>安全要求符合国家强制性CCC 认证等有关安全技术要求；</w:t>
      </w:r>
    </w:p>
    <w:p>
      <w:pPr>
        <w:spacing w:line="360" w:lineRule="auto"/>
        <w:jc w:val="left"/>
        <w:rPr>
          <w:rFonts w:ascii="Arial" w:hAnsi="Arial" w:cs="Arial"/>
          <w:bCs/>
          <w:shd w:val="clear" w:color="auto" w:fill="FFFFFF"/>
        </w:rPr>
      </w:pPr>
      <w:r>
        <w:rPr>
          <w:rFonts w:hint="eastAsia" w:ascii="Arial" w:hAnsi="Arial" w:cs="Arial"/>
          <w:bCs/>
          <w:shd w:val="clear" w:color="auto" w:fill="FFFFFF"/>
        </w:rPr>
        <w:t>3、技术规格及物理特征详见下表</w:t>
      </w:r>
    </w:p>
    <w:tbl>
      <w:tblPr>
        <w:tblStyle w:val="1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38"/>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tcPr>
          <w:p>
            <w:pPr>
              <w:widowControl/>
              <w:spacing w:line="360" w:lineRule="auto"/>
              <w:jc w:val="center"/>
              <w:rPr>
                <w:rFonts w:ascii="宋体" w:hAnsi="宋体" w:cs="宋体"/>
                <w:b/>
              </w:rPr>
            </w:pPr>
            <w:r>
              <w:rPr>
                <w:rFonts w:ascii="宋体" w:hAnsi="宋体" w:cs="宋体"/>
                <w:b/>
              </w:rPr>
              <w:t>序号</w:t>
            </w:r>
          </w:p>
        </w:tc>
        <w:tc>
          <w:tcPr>
            <w:tcW w:w="738" w:type="dxa"/>
          </w:tcPr>
          <w:p>
            <w:pPr>
              <w:widowControl/>
              <w:spacing w:line="360" w:lineRule="auto"/>
              <w:jc w:val="center"/>
              <w:rPr>
                <w:rFonts w:ascii="宋体" w:hAnsi="宋体" w:cs="宋体"/>
                <w:b/>
              </w:rPr>
            </w:pPr>
            <w:r>
              <w:rPr>
                <w:rFonts w:ascii="宋体" w:hAnsi="宋体" w:cs="宋体"/>
                <w:b/>
              </w:rPr>
              <w:t>产品名称</w:t>
            </w:r>
          </w:p>
        </w:tc>
        <w:tc>
          <w:tcPr>
            <w:tcW w:w="7938" w:type="dxa"/>
          </w:tcPr>
          <w:p>
            <w:pPr>
              <w:widowControl/>
              <w:spacing w:line="360" w:lineRule="auto"/>
              <w:jc w:val="center"/>
              <w:rPr>
                <w:rFonts w:ascii="宋体" w:hAnsi="宋体" w:cs="宋体"/>
                <w:b/>
              </w:rPr>
            </w:pPr>
            <w:r>
              <w:rPr>
                <w:rFonts w:ascii="宋体" w:hAnsi="宋体" w:cs="宋体"/>
                <w:b/>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line="360" w:lineRule="auto"/>
              <w:jc w:val="center"/>
              <w:rPr>
                <w:rFonts w:ascii="宋体" w:hAnsi="宋体" w:cs="宋体"/>
              </w:rPr>
            </w:pPr>
            <w:r>
              <w:rPr>
                <w:rFonts w:hint="eastAsia" w:ascii="宋体" w:hAnsi="宋体" w:cs="宋体"/>
              </w:rPr>
              <w:t>1</w:t>
            </w:r>
          </w:p>
        </w:tc>
        <w:tc>
          <w:tcPr>
            <w:tcW w:w="738" w:type="dxa"/>
            <w:vAlign w:val="center"/>
          </w:tcPr>
          <w:p>
            <w:pPr>
              <w:widowControl/>
              <w:spacing w:line="360" w:lineRule="auto"/>
              <w:jc w:val="center"/>
              <w:rPr>
                <w:rFonts w:ascii="宋体" w:hAnsi="宋体" w:cs="宋体"/>
                <w:b/>
              </w:rPr>
            </w:pPr>
            <w:r>
              <w:rPr>
                <w:rFonts w:hint="eastAsia" w:ascii="宋体" w:hAnsi="宋体" w:cs="宋体"/>
              </w:rPr>
              <w:t>LED护眼黑板灯</w:t>
            </w:r>
          </w:p>
        </w:tc>
        <w:tc>
          <w:tcPr>
            <w:tcW w:w="7938" w:type="dxa"/>
          </w:tcPr>
          <w:p>
            <w:pPr>
              <w:spacing w:line="360" w:lineRule="auto"/>
              <w:rPr>
                <w:rFonts w:ascii="宋体" w:cs="宋体"/>
              </w:rPr>
            </w:pPr>
            <w:r>
              <w:rPr>
                <w:rFonts w:hint="eastAsia" w:ascii="宋体" w:cs="宋体"/>
              </w:rPr>
              <w:t>1、功率为≤40W；一体式LED灯具，不接受组合式灯具；产品整体需为铝材，灯体采用铝型材工艺。</w:t>
            </w:r>
          </w:p>
          <w:p>
            <w:pPr>
              <w:spacing w:line="360" w:lineRule="auto"/>
              <w:rPr>
                <w:rFonts w:ascii="宋体" w:cs="宋体"/>
              </w:rPr>
            </w:pPr>
            <w:r>
              <w:rPr>
                <w:rFonts w:hint="eastAsia" w:ascii="宋体" w:cs="宋体"/>
              </w:rPr>
              <w:t>2、灯具防眩挡板需融合于灯体造型，不允许采用单独加挡板结构。</w:t>
            </w:r>
          </w:p>
          <w:p>
            <w:pPr>
              <w:spacing w:line="360" w:lineRule="auto"/>
              <w:rPr>
                <w:rFonts w:ascii="宋体" w:cs="宋体"/>
              </w:rPr>
            </w:pPr>
            <w:r>
              <w:rPr>
                <w:rFonts w:hint="eastAsia" w:ascii="宋体" w:cs="宋体"/>
              </w:rPr>
              <w:t>3、吊杆需采用可调节高度的组合吊杆形式。</w:t>
            </w:r>
          </w:p>
          <w:p>
            <w:pPr>
              <w:spacing w:line="360" w:lineRule="auto"/>
              <w:rPr>
                <w:rFonts w:ascii="宋体" w:cs="宋体"/>
              </w:rPr>
            </w:pPr>
            <w:r>
              <w:rPr>
                <w:rFonts w:hint="eastAsia" w:ascii="宋体" w:cs="宋体"/>
              </w:rPr>
              <w:t>4、灯体需角度可调，背部有导槽可进行间距调节。</w:t>
            </w:r>
          </w:p>
          <w:p>
            <w:pPr>
              <w:spacing w:line="360" w:lineRule="auto"/>
              <w:rPr>
                <w:rFonts w:ascii="宋体" w:cs="宋体"/>
              </w:rPr>
            </w:pPr>
            <w:r>
              <w:rPr>
                <w:rFonts w:hint="eastAsia" w:ascii="宋体" w:cs="宋体"/>
              </w:rPr>
              <w:t>5、LED 黑板灯色温在5000±200K，色容差≤5</w:t>
            </w:r>
            <w:r>
              <w:t xml:space="preserve"> </w:t>
            </w:r>
            <w:r>
              <w:rPr>
                <w:rFonts w:ascii="宋体" w:cs="宋体"/>
              </w:rPr>
              <w:t>SDCM</w:t>
            </w:r>
            <w:r>
              <w:rPr>
                <w:rFonts w:hint="eastAsia" w:ascii="宋体" w:cs="宋体"/>
              </w:rPr>
              <w:t>，显色指数≥90，功率因数≥0.95。</w:t>
            </w:r>
          </w:p>
          <w:p>
            <w:pPr>
              <w:spacing w:line="360" w:lineRule="auto"/>
              <w:rPr>
                <w:rFonts w:ascii="宋体" w:cs="宋体"/>
              </w:rPr>
            </w:pPr>
            <w:r>
              <w:rPr>
                <w:rFonts w:hint="eastAsia" w:ascii="宋体" w:cs="宋体"/>
              </w:rPr>
              <w:t>6、LED 黑板灯灯具效能（光效率）≥90lm/W。</w:t>
            </w:r>
          </w:p>
          <w:p>
            <w:pPr>
              <w:spacing w:line="360" w:lineRule="auto"/>
              <w:rPr>
                <w:rFonts w:ascii="宋体" w:cs="宋体"/>
              </w:rPr>
            </w:pPr>
            <w:r>
              <w:rPr>
                <w:rFonts w:hint="eastAsia" w:ascii="宋体" w:cs="宋体"/>
              </w:rPr>
              <w:t>7、黑板面维持平均照度≥500lx，桌面照度均匀度≥0.8。</w:t>
            </w:r>
          </w:p>
          <w:p>
            <w:pPr>
              <w:spacing w:line="360" w:lineRule="auto"/>
              <w:rPr>
                <w:rFonts w:ascii="宋体" w:cs="宋体"/>
              </w:rPr>
            </w:pPr>
            <w:r>
              <w:rPr>
                <w:rFonts w:hint="eastAsia" w:ascii="宋体" w:hAnsi="宋体" w:cs="宋体"/>
                <w:kern w:val="0"/>
              </w:rPr>
              <w:t>★</w:t>
            </w:r>
            <w:r>
              <w:rPr>
                <w:rFonts w:hint="eastAsia" w:ascii="宋体" w:cs="宋体"/>
              </w:rPr>
              <w:t>8、蓝光危害等级为“RG0（0类危险）”或“无危险类”，须提供相关证书佐证。</w:t>
            </w:r>
          </w:p>
          <w:p>
            <w:pPr>
              <w:spacing w:line="360" w:lineRule="auto"/>
              <w:rPr>
                <w:rFonts w:ascii="宋体" w:cs="宋体"/>
              </w:rPr>
            </w:pPr>
            <w:r>
              <w:rPr>
                <w:rFonts w:hint="eastAsia" w:ascii="宋体" w:hAnsi="宋体" w:cs="宋体"/>
                <w:kern w:val="0"/>
              </w:rPr>
              <w:t>★</w:t>
            </w:r>
            <w:r>
              <w:rPr>
                <w:rFonts w:hint="eastAsia" w:ascii="宋体" w:cs="宋体"/>
              </w:rPr>
              <w:t>9、灯具无光频闪危害，检测结果为“无危害”或“无显著影响”。</w:t>
            </w:r>
          </w:p>
          <w:p>
            <w:pPr>
              <w:spacing w:line="360" w:lineRule="auto"/>
              <w:rPr>
                <w:rFonts w:ascii="宋体" w:cs="宋体"/>
              </w:rPr>
            </w:pPr>
            <w:r>
              <w:rPr>
                <w:rFonts w:hint="eastAsia" w:ascii="宋体" w:hAnsi="宋体" w:cs="宋体"/>
                <w:kern w:val="0"/>
              </w:rPr>
              <w:t>★</w:t>
            </w:r>
            <w:r>
              <w:rPr>
                <w:rFonts w:hint="eastAsia" w:ascii="宋体" w:cs="宋体"/>
              </w:rPr>
              <w:t>10、灯具对人体的电磁辐射安全检测：20kHz~10MHz频率范围内电场产生的感应电流密度≤0.85 。</w:t>
            </w:r>
          </w:p>
          <w:p>
            <w:pPr>
              <w:spacing w:line="360" w:lineRule="auto"/>
              <w:rPr>
                <w:rFonts w:ascii="宋体" w:cs="宋体"/>
              </w:rPr>
            </w:pPr>
            <w:r>
              <w:rPr>
                <w:rFonts w:hint="eastAsia" w:ascii="宋体" w:hAnsi="宋体" w:cs="宋体"/>
                <w:kern w:val="0"/>
              </w:rPr>
              <w:t>★</w:t>
            </w:r>
            <w:r>
              <w:rPr>
                <w:rFonts w:hint="eastAsia" w:ascii="宋体" w:cs="宋体"/>
              </w:rPr>
              <w:t>11、环保：有害物质限量要求依据标准《GB/T 26125-2011》检测结果符合《GB/T 26572-2011》标准要求。</w:t>
            </w:r>
          </w:p>
          <w:p>
            <w:pPr>
              <w:spacing w:line="360" w:lineRule="auto"/>
              <w:rPr>
                <w:rFonts w:ascii="宋体" w:cs="宋体"/>
              </w:rPr>
            </w:pPr>
            <w:r>
              <w:rPr>
                <w:rFonts w:hint="eastAsia" w:ascii="宋体" w:cs="宋体"/>
              </w:rPr>
              <w:t>12、刚度和强度：灯具满足《GB7000.1-2015 》提出的刚度和强度指标。</w:t>
            </w:r>
          </w:p>
          <w:p>
            <w:pPr>
              <w:spacing w:line="360" w:lineRule="auto"/>
              <w:rPr>
                <w:rFonts w:ascii="宋体" w:cs="宋体"/>
              </w:rPr>
            </w:pPr>
            <w:r>
              <w:rPr>
                <w:rFonts w:hint="eastAsia" w:ascii="宋体" w:cs="宋体"/>
              </w:rPr>
              <w:t>13、投标产品须通过国家强制性认证，提供CCC证书。</w:t>
            </w:r>
          </w:p>
          <w:p>
            <w:pPr>
              <w:spacing w:line="360" w:lineRule="auto"/>
              <w:rPr>
                <w:rFonts w:ascii="宋体" w:hAnsi="宋体"/>
                <w:b/>
              </w:rPr>
            </w:pPr>
            <w:r>
              <w:rPr>
                <w:rFonts w:hint="eastAsia" w:ascii="宋体" w:cs="宋体"/>
              </w:rPr>
              <w:t>14、施工及辅材：拆除旧灯具、根据设计方案安装新灯具、线路改造所需辅材（含开关）。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line="360" w:lineRule="auto"/>
              <w:jc w:val="center"/>
              <w:rPr>
                <w:rFonts w:ascii="宋体" w:hAnsi="宋体" w:cs="宋体"/>
              </w:rPr>
            </w:pPr>
            <w:r>
              <w:rPr>
                <w:rFonts w:hint="eastAsia" w:ascii="宋体" w:hAnsi="宋体" w:cs="宋体"/>
              </w:rPr>
              <w:t>2</w:t>
            </w:r>
          </w:p>
        </w:tc>
        <w:tc>
          <w:tcPr>
            <w:tcW w:w="738" w:type="dxa"/>
            <w:vAlign w:val="center"/>
          </w:tcPr>
          <w:p>
            <w:pPr>
              <w:widowControl/>
              <w:spacing w:line="360" w:lineRule="auto"/>
              <w:jc w:val="center"/>
              <w:rPr>
                <w:rFonts w:ascii="宋体" w:hAnsi="宋体" w:cs="宋体"/>
              </w:rPr>
            </w:pPr>
            <w:r>
              <w:rPr>
                <w:rFonts w:hint="eastAsia" w:ascii="宋体" w:hAnsi="宋体" w:cs="宋体"/>
              </w:rPr>
              <w:t>LED护眼灯</w:t>
            </w:r>
          </w:p>
        </w:tc>
        <w:tc>
          <w:tcPr>
            <w:tcW w:w="7938" w:type="dxa"/>
          </w:tcPr>
          <w:p>
            <w:pPr>
              <w:spacing w:line="360" w:lineRule="auto"/>
              <w:rPr>
                <w:rFonts w:ascii="宋体" w:cs="宋体"/>
              </w:rPr>
            </w:pPr>
            <w:r>
              <w:rPr>
                <w:rFonts w:hint="eastAsia" w:ascii="宋体" w:cs="宋体"/>
              </w:rPr>
              <w:t>1、功率为≤40W；铝合金面框。</w:t>
            </w:r>
          </w:p>
          <w:p>
            <w:pPr>
              <w:spacing w:line="360" w:lineRule="auto"/>
              <w:rPr>
                <w:rFonts w:ascii="宋体" w:cs="宋体"/>
              </w:rPr>
            </w:pPr>
            <w:r>
              <w:rPr>
                <w:rFonts w:hint="eastAsia" w:ascii="宋体" w:cs="宋体"/>
              </w:rPr>
              <w:t>2、灯具安装吊杆与灯体连接采用吊杆支架进行连接，灯体背部两端需各有可调节吊杆间距的滑轨以适应不同安装位置。</w:t>
            </w:r>
          </w:p>
          <w:p>
            <w:pPr>
              <w:spacing w:line="360" w:lineRule="auto"/>
              <w:rPr>
                <w:rFonts w:ascii="宋体" w:cs="宋体"/>
              </w:rPr>
            </w:pPr>
            <w:r>
              <w:rPr>
                <w:rFonts w:hint="eastAsia" w:ascii="宋体" w:cs="宋体"/>
              </w:rPr>
              <w:t>3、驱动电源采用外置方案，电源同灯具固定螺丝为隐藏式，为方便维护，拆卸电源内部部件不需要拆卸整个电源盒。</w:t>
            </w:r>
          </w:p>
          <w:p>
            <w:pPr>
              <w:spacing w:line="360" w:lineRule="auto"/>
              <w:rPr>
                <w:rFonts w:ascii="宋体" w:cs="宋体"/>
              </w:rPr>
            </w:pPr>
            <w:r>
              <w:rPr>
                <w:rFonts w:hint="eastAsia" w:ascii="宋体" w:cs="宋体"/>
              </w:rPr>
              <w:t>4、LED 教室灯色温在5000±200K，色容差≤5</w:t>
            </w:r>
            <w:r>
              <w:t xml:space="preserve"> </w:t>
            </w:r>
            <w:r>
              <w:rPr>
                <w:rFonts w:ascii="宋体" w:cs="宋体"/>
              </w:rPr>
              <w:t>SDCM</w:t>
            </w:r>
            <w:r>
              <w:rPr>
                <w:rFonts w:hint="eastAsia" w:ascii="宋体" w:cs="宋体"/>
              </w:rPr>
              <w:t>，显色指数≥90，功率因数≥0.95。</w:t>
            </w:r>
          </w:p>
          <w:p>
            <w:pPr>
              <w:spacing w:line="360" w:lineRule="auto"/>
              <w:rPr>
                <w:rFonts w:ascii="宋体" w:cs="宋体"/>
              </w:rPr>
            </w:pPr>
            <w:r>
              <w:rPr>
                <w:rFonts w:hint="eastAsia" w:ascii="宋体" w:cs="宋体"/>
              </w:rPr>
              <w:t>5、LED 教室灯灯具效能≥90lm/W。</w:t>
            </w:r>
          </w:p>
          <w:p>
            <w:pPr>
              <w:spacing w:line="360" w:lineRule="auto"/>
              <w:rPr>
                <w:rFonts w:ascii="宋体" w:cs="宋体"/>
              </w:rPr>
            </w:pPr>
            <w:r>
              <w:rPr>
                <w:rFonts w:hint="eastAsia" w:ascii="宋体" w:cs="宋体"/>
              </w:rPr>
              <w:t>6、教室（学生区）照度均匀度课桌面维持平均照度≥300lx， 桌面照度均匀度≥0.7，统一眩光指数UGR＜19，照明功率密度＜9W/㎡。</w:t>
            </w:r>
          </w:p>
          <w:p>
            <w:pPr>
              <w:spacing w:line="360" w:lineRule="auto"/>
              <w:rPr>
                <w:rFonts w:ascii="宋体" w:cs="宋体"/>
              </w:rPr>
            </w:pPr>
            <w:r>
              <w:rPr>
                <w:rFonts w:hint="eastAsia" w:ascii="宋体" w:hAnsi="宋体" w:cs="宋体"/>
                <w:kern w:val="0"/>
              </w:rPr>
              <w:t>★</w:t>
            </w:r>
            <w:r>
              <w:rPr>
                <w:rFonts w:hint="eastAsia" w:ascii="宋体" w:cs="宋体"/>
              </w:rPr>
              <w:t>7、蓝光危害等级为“RG0（0类危险）”或“无危险类”，须提供相关证书佐证。</w:t>
            </w:r>
          </w:p>
          <w:p>
            <w:pPr>
              <w:spacing w:line="360" w:lineRule="auto"/>
              <w:rPr>
                <w:rFonts w:ascii="宋体" w:cs="宋体"/>
              </w:rPr>
            </w:pPr>
            <w:r>
              <w:rPr>
                <w:rFonts w:hint="eastAsia" w:ascii="宋体" w:hAnsi="宋体" w:cs="宋体"/>
                <w:kern w:val="0"/>
              </w:rPr>
              <w:t>★</w:t>
            </w:r>
            <w:r>
              <w:rPr>
                <w:rFonts w:hint="eastAsia" w:ascii="宋体" w:cs="宋体"/>
              </w:rPr>
              <w:t>8、灯具无光频闪危害，检测结果为“无危害”或“无显著影响”。</w:t>
            </w:r>
          </w:p>
          <w:p>
            <w:pPr>
              <w:spacing w:line="360" w:lineRule="auto"/>
              <w:rPr>
                <w:rFonts w:ascii="宋体" w:cs="宋体"/>
              </w:rPr>
            </w:pPr>
            <w:r>
              <w:rPr>
                <w:rFonts w:hint="eastAsia" w:ascii="宋体" w:hAnsi="宋体" w:cs="宋体"/>
                <w:kern w:val="0"/>
              </w:rPr>
              <w:t>★</w:t>
            </w:r>
            <w:r>
              <w:rPr>
                <w:rFonts w:hint="eastAsia" w:ascii="宋体" w:cs="宋体"/>
              </w:rPr>
              <w:t>9、灯具对人体的电磁辐射安全检测：20kHz~10MHz频率范围内电场产生的感应电流密度≤0.85 。</w:t>
            </w:r>
          </w:p>
          <w:p>
            <w:pPr>
              <w:spacing w:line="360" w:lineRule="auto"/>
              <w:rPr>
                <w:rFonts w:ascii="宋体" w:cs="宋体"/>
              </w:rPr>
            </w:pPr>
            <w:r>
              <w:rPr>
                <w:rFonts w:hint="eastAsia" w:ascii="宋体" w:hAnsi="宋体" w:cs="宋体"/>
                <w:kern w:val="0"/>
              </w:rPr>
              <w:t>★</w:t>
            </w:r>
            <w:r>
              <w:rPr>
                <w:rFonts w:hint="eastAsia" w:ascii="宋体" w:cs="宋体"/>
              </w:rPr>
              <w:t>10、环保：有害物质限量要求依据标准《GB/T 26125-2011》检测结果符合《GB/T 26572-2011》标准要求。</w:t>
            </w:r>
          </w:p>
          <w:p>
            <w:pPr>
              <w:spacing w:line="360" w:lineRule="auto"/>
              <w:rPr>
                <w:rFonts w:ascii="宋体" w:cs="宋体"/>
              </w:rPr>
            </w:pPr>
            <w:r>
              <w:rPr>
                <w:rFonts w:hint="eastAsia" w:ascii="宋体" w:cs="宋体"/>
              </w:rPr>
              <w:t>11、刚度和强度：灯具满足《GB7000.1-2015 》提出的刚度和强度指标。</w:t>
            </w:r>
          </w:p>
          <w:p>
            <w:pPr>
              <w:spacing w:line="360" w:lineRule="auto"/>
              <w:rPr>
                <w:rFonts w:ascii="宋体" w:cs="宋体"/>
              </w:rPr>
            </w:pPr>
            <w:r>
              <w:rPr>
                <w:rFonts w:hint="eastAsia" w:ascii="宋体" w:cs="宋体"/>
              </w:rPr>
              <w:t>12、投标产品须通过国家强制性认证，提供CCC证书。</w:t>
            </w:r>
          </w:p>
          <w:p>
            <w:pPr>
              <w:spacing w:line="360" w:lineRule="auto"/>
              <w:rPr>
                <w:rFonts w:ascii="宋体" w:hAnsi="宋体"/>
              </w:rPr>
            </w:pPr>
            <w:r>
              <w:rPr>
                <w:rFonts w:hint="eastAsia" w:ascii="宋体" w:cs="宋体"/>
              </w:rPr>
              <w:t>13、施工及辅材：拆除旧灯具、根据设计方案安装新灯具、线路改造所需辅材（含开关）。</w:t>
            </w:r>
          </w:p>
        </w:tc>
      </w:tr>
    </w:tbl>
    <w:p>
      <w:pPr>
        <w:keepNext/>
        <w:keepLines/>
        <w:spacing w:before="120" w:after="120" w:line="360" w:lineRule="auto"/>
        <w:ind w:left="720" w:hanging="720"/>
        <w:outlineLvl w:val="2"/>
        <w:rPr>
          <w:sz w:val="22"/>
          <w:szCs w:val="22"/>
        </w:rPr>
      </w:pPr>
      <w:bookmarkStart w:id="17" w:name="_Toc118470081"/>
      <w:r>
        <w:rPr>
          <w:rFonts w:hint="eastAsia"/>
          <w:sz w:val="22"/>
          <w:szCs w:val="22"/>
        </w:rPr>
        <w:t>（三）采购标的需满足的质量、安全、技术规格、物理特性等要求；</w:t>
      </w:r>
      <w:bookmarkEnd w:id="17"/>
      <w:r>
        <w:rPr>
          <w:rFonts w:hint="eastAsia"/>
          <w:sz w:val="22"/>
          <w:szCs w:val="22"/>
        </w:rPr>
        <w:t xml:space="preserve"> </w:t>
      </w:r>
    </w:p>
    <w:p>
      <w:pPr>
        <w:ind w:firstLine="420" w:firstLineChars="200"/>
        <w:rPr>
          <w:sz w:val="22"/>
          <w:szCs w:val="22"/>
        </w:rPr>
      </w:pPr>
      <w:r>
        <w:rPr>
          <w:rFonts w:hint="eastAsia"/>
        </w:rPr>
        <w:t>符合《中小学校采光设计规范标准》（GB50099-2011）、《中小学校教室采光和照明卫生标准》（GB 7793-2010）、《中小学校普通教室照明设计安装卫生要求》（GBT36876-2018）、《灯具分布光度测量的一般要求》（GBT9468-2008）、《固态照明产品的电气和光度测量方法》（IES LM-79-08）、《照明闪烁的潜在健康影响》（IEEE PAR 1789-2013LED）/《IEEE std 1789-2015》、《灯和灯系统的光生物安全性》（GB/T 20145-2006）。</w:t>
      </w:r>
    </w:p>
    <w:p>
      <w:pPr>
        <w:keepNext/>
        <w:keepLines/>
        <w:spacing w:before="120" w:after="120" w:line="360" w:lineRule="auto"/>
        <w:ind w:left="720" w:hanging="720"/>
        <w:outlineLvl w:val="2"/>
        <w:rPr>
          <w:b/>
          <w:bCs/>
          <w:sz w:val="22"/>
          <w:szCs w:val="22"/>
        </w:rPr>
      </w:pPr>
      <w:bookmarkStart w:id="18" w:name="_Toc118470082"/>
      <w:r>
        <w:rPr>
          <w:rFonts w:hint="eastAsia"/>
          <w:b/>
          <w:bCs/>
          <w:sz w:val="22"/>
          <w:szCs w:val="22"/>
        </w:rPr>
        <w:t>（四）采购标的的数量、采购项目交付或者实施的时间和地点；</w:t>
      </w:r>
      <w:bookmarkEnd w:id="18"/>
      <w:r>
        <w:rPr>
          <w:rFonts w:hint="eastAsia"/>
          <w:b/>
          <w:bCs/>
          <w:sz w:val="22"/>
          <w:szCs w:val="22"/>
        </w:rPr>
        <w:t xml:space="preserve"> </w:t>
      </w:r>
    </w:p>
    <w:p>
      <w:pPr>
        <w:ind w:firstLine="420" w:firstLineChars="200"/>
      </w:pPr>
      <w:r>
        <w:rPr>
          <w:rFonts w:hint="eastAsia"/>
        </w:rPr>
        <w:t>1、数量：</w:t>
      </w:r>
    </w:p>
    <w:tbl>
      <w:tblPr>
        <w:tblStyle w:val="17"/>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637"/>
        <w:gridCol w:w="2988"/>
        <w:gridCol w:w="855"/>
        <w:gridCol w:w="845"/>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jc w:val="center"/>
              <w:rPr>
                <w:rFonts w:ascii="宋体" w:hAnsi="宋体" w:cs="宋体"/>
                <w:sz w:val="18"/>
                <w:szCs w:val="18"/>
              </w:rPr>
            </w:pPr>
            <w:r>
              <w:rPr>
                <w:rFonts w:hint="eastAsia" w:ascii="宋体" w:hAnsi="宋体" w:cs="宋体"/>
                <w:sz w:val="18"/>
                <w:szCs w:val="18"/>
              </w:rPr>
              <w:t>序号</w:t>
            </w:r>
          </w:p>
        </w:tc>
        <w:tc>
          <w:tcPr>
            <w:tcW w:w="2637" w:type="dxa"/>
            <w:vAlign w:val="center"/>
          </w:tcPr>
          <w:p>
            <w:pPr>
              <w:jc w:val="center"/>
              <w:rPr>
                <w:rFonts w:ascii="宋体" w:hAnsi="宋体" w:cs="宋体"/>
                <w:sz w:val="18"/>
                <w:szCs w:val="18"/>
              </w:rPr>
            </w:pPr>
            <w:r>
              <w:rPr>
                <w:rFonts w:hint="eastAsia" w:ascii="宋体" w:hAnsi="宋体" w:cs="宋体"/>
                <w:sz w:val="18"/>
                <w:szCs w:val="18"/>
              </w:rPr>
              <w:t>标段名称</w:t>
            </w:r>
          </w:p>
        </w:tc>
        <w:tc>
          <w:tcPr>
            <w:tcW w:w="2988" w:type="dxa"/>
            <w:vAlign w:val="center"/>
          </w:tcPr>
          <w:p>
            <w:pPr>
              <w:jc w:val="center"/>
              <w:rPr>
                <w:rFonts w:ascii="宋体" w:hAnsi="宋体" w:cs="宋体"/>
                <w:sz w:val="18"/>
                <w:szCs w:val="18"/>
              </w:rPr>
            </w:pPr>
            <w:r>
              <w:rPr>
                <w:rFonts w:hint="eastAsia" w:ascii="宋体" w:hAnsi="宋体" w:cs="宋体"/>
                <w:sz w:val="18"/>
                <w:szCs w:val="18"/>
              </w:rPr>
              <w:t>采购内容</w:t>
            </w:r>
          </w:p>
        </w:tc>
        <w:tc>
          <w:tcPr>
            <w:tcW w:w="855" w:type="dxa"/>
            <w:vAlign w:val="center"/>
          </w:tcPr>
          <w:p>
            <w:pPr>
              <w:jc w:val="center"/>
              <w:rPr>
                <w:rFonts w:ascii="宋体" w:hAnsi="宋体" w:cs="宋体"/>
                <w:sz w:val="18"/>
                <w:szCs w:val="18"/>
              </w:rPr>
            </w:pPr>
            <w:r>
              <w:rPr>
                <w:rFonts w:hint="eastAsia" w:ascii="宋体" w:hAnsi="宋体" w:cs="宋体"/>
                <w:sz w:val="18"/>
                <w:szCs w:val="18"/>
              </w:rPr>
              <w:t>教室数量（间）</w:t>
            </w:r>
          </w:p>
        </w:tc>
        <w:tc>
          <w:tcPr>
            <w:tcW w:w="845" w:type="dxa"/>
            <w:vAlign w:val="center"/>
          </w:tcPr>
          <w:p>
            <w:pPr>
              <w:jc w:val="center"/>
              <w:rPr>
                <w:rFonts w:ascii="宋体" w:hAnsi="宋体" w:cs="宋体"/>
                <w:sz w:val="18"/>
                <w:szCs w:val="18"/>
              </w:rPr>
            </w:pPr>
            <w:r>
              <w:rPr>
                <w:rFonts w:hint="eastAsia" w:ascii="宋体" w:hAnsi="宋体" w:cs="宋体"/>
                <w:sz w:val="18"/>
                <w:szCs w:val="18"/>
              </w:rPr>
              <w:t>灯具数量（盏）</w:t>
            </w:r>
          </w:p>
        </w:tc>
        <w:tc>
          <w:tcPr>
            <w:tcW w:w="1102" w:type="dxa"/>
            <w:vAlign w:val="center"/>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jc w:val="center"/>
              <w:rPr>
                <w:rFonts w:ascii="宋体" w:hAnsi="宋体" w:cs="宋体"/>
                <w:sz w:val="18"/>
                <w:szCs w:val="18"/>
              </w:rPr>
            </w:pPr>
            <w:r>
              <w:rPr>
                <w:rFonts w:hint="eastAsia" w:ascii="宋体" w:hAnsi="宋体" w:cs="宋体"/>
                <w:sz w:val="18"/>
                <w:szCs w:val="18"/>
              </w:rPr>
              <w:t>1</w:t>
            </w:r>
          </w:p>
        </w:tc>
        <w:tc>
          <w:tcPr>
            <w:tcW w:w="2637" w:type="dxa"/>
            <w:vAlign w:val="center"/>
          </w:tcPr>
          <w:p>
            <w:pPr>
              <w:jc w:val="center"/>
              <w:rPr>
                <w:rFonts w:ascii="宋体" w:hAnsi="宋体" w:cs="宋体"/>
                <w:sz w:val="18"/>
                <w:szCs w:val="18"/>
              </w:rPr>
            </w:pPr>
            <w:r>
              <w:rPr>
                <w:rFonts w:hint="eastAsia" w:ascii="宋体" w:hAnsi="宋体" w:cs="宋体"/>
                <w:sz w:val="18"/>
                <w:szCs w:val="18"/>
              </w:rPr>
              <w:t>昆明高新区学校品质提升工程（高新区各公办学校护眼灯更换）一标段</w:t>
            </w:r>
          </w:p>
        </w:tc>
        <w:tc>
          <w:tcPr>
            <w:tcW w:w="2988" w:type="dxa"/>
            <w:vAlign w:val="center"/>
          </w:tcPr>
          <w:p>
            <w:pPr>
              <w:jc w:val="center"/>
              <w:rPr>
                <w:rFonts w:ascii="宋体" w:hAnsi="宋体" w:cs="宋体"/>
                <w:sz w:val="18"/>
                <w:szCs w:val="18"/>
              </w:rPr>
            </w:pPr>
            <w:r>
              <w:rPr>
                <w:rFonts w:hint="eastAsia" w:ascii="宋体" w:hAnsi="宋体" w:cs="宋体"/>
                <w:sz w:val="18"/>
                <w:szCs w:val="18"/>
              </w:rPr>
              <w:t>高新四小（含化城校区）教室护眼灯更换</w:t>
            </w:r>
          </w:p>
        </w:tc>
        <w:tc>
          <w:tcPr>
            <w:tcW w:w="855" w:type="dxa"/>
            <w:vAlign w:val="center"/>
          </w:tcPr>
          <w:p>
            <w:pPr>
              <w:jc w:val="center"/>
              <w:rPr>
                <w:rFonts w:ascii="宋体" w:hAnsi="宋体" w:cs="宋体"/>
                <w:sz w:val="18"/>
                <w:szCs w:val="18"/>
              </w:rPr>
            </w:pPr>
            <w:r>
              <w:rPr>
                <w:rFonts w:hint="eastAsia" w:ascii="宋体" w:hAnsi="宋体" w:cs="宋体"/>
                <w:sz w:val="18"/>
                <w:szCs w:val="18"/>
              </w:rPr>
              <w:t>68</w:t>
            </w:r>
          </w:p>
        </w:tc>
        <w:tc>
          <w:tcPr>
            <w:tcW w:w="845" w:type="dxa"/>
            <w:vAlign w:val="center"/>
          </w:tcPr>
          <w:p>
            <w:pPr>
              <w:jc w:val="center"/>
              <w:rPr>
                <w:rFonts w:ascii="宋体" w:hAnsi="宋体" w:cs="宋体"/>
                <w:sz w:val="18"/>
                <w:szCs w:val="18"/>
              </w:rPr>
            </w:pPr>
            <w:r>
              <w:rPr>
                <w:rFonts w:hint="eastAsia" w:ascii="宋体" w:hAnsi="宋体" w:cs="宋体"/>
                <w:sz w:val="18"/>
                <w:szCs w:val="18"/>
              </w:rPr>
              <w:t>816</w:t>
            </w:r>
          </w:p>
        </w:tc>
        <w:tc>
          <w:tcPr>
            <w:tcW w:w="1102" w:type="dxa"/>
            <w:vMerge w:val="restart"/>
            <w:vAlign w:val="center"/>
          </w:tcPr>
          <w:p>
            <w:pPr>
              <w:jc w:val="center"/>
              <w:rPr>
                <w:rFonts w:ascii="宋体" w:hAnsi="宋体" w:cs="宋体"/>
                <w:sz w:val="18"/>
                <w:szCs w:val="18"/>
              </w:rPr>
            </w:pPr>
            <w:r>
              <w:rPr>
                <w:rFonts w:hint="eastAsia" w:ascii="宋体" w:hAnsi="宋体" w:cs="宋体"/>
              </w:rPr>
              <w:t>每间教室9盏教室灯、2盏黑板灯，含局部损坏开关及线路更换，具体要求详见第六章 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jc w:val="center"/>
              <w:rPr>
                <w:rFonts w:ascii="宋体" w:hAnsi="宋体" w:cs="宋体"/>
                <w:sz w:val="18"/>
                <w:szCs w:val="18"/>
              </w:rPr>
            </w:pPr>
            <w:r>
              <w:rPr>
                <w:rFonts w:hint="eastAsia" w:ascii="宋体" w:hAnsi="宋体" w:cs="宋体"/>
                <w:sz w:val="18"/>
                <w:szCs w:val="18"/>
              </w:rPr>
              <w:t>2</w:t>
            </w:r>
          </w:p>
        </w:tc>
        <w:tc>
          <w:tcPr>
            <w:tcW w:w="2637" w:type="dxa"/>
            <w:vAlign w:val="center"/>
          </w:tcPr>
          <w:p>
            <w:pPr>
              <w:jc w:val="center"/>
              <w:rPr>
                <w:rFonts w:ascii="宋体" w:hAnsi="宋体" w:cs="宋体"/>
                <w:sz w:val="18"/>
                <w:szCs w:val="18"/>
              </w:rPr>
            </w:pPr>
            <w:r>
              <w:rPr>
                <w:rFonts w:hint="eastAsia" w:ascii="宋体" w:hAnsi="宋体" w:cs="宋体"/>
                <w:sz w:val="18"/>
                <w:szCs w:val="18"/>
              </w:rPr>
              <w:t>昆明高新区学校品质提升工程（高新区各公办学校护眼灯更换）二标段</w:t>
            </w:r>
          </w:p>
        </w:tc>
        <w:tc>
          <w:tcPr>
            <w:tcW w:w="2988" w:type="dxa"/>
            <w:vAlign w:val="center"/>
          </w:tcPr>
          <w:p>
            <w:pPr>
              <w:jc w:val="center"/>
              <w:rPr>
                <w:rFonts w:ascii="宋体" w:hAnsi="宋体" w:cs="宋体"/>
                <w:sz w:val="18"/>
                <w:szCs w:val="18"/>
              </w:rPr>
            </w:pPr>
            <w:r>
              <w:rPr>
                <w:rFonts w:hint="eastAsia" w:ascii="宋体" w:hAnsi="宋体" w:cs="宋体"/>
                <w:sz w:val="18"/>
                <w:szCs w:val="18"/>
              </w:rPr>
              <w:t>高新一小海源校区教室护眼灯更换</w:t>
            </w:r>
          </w:p>
        </w:tc>
        <w:tc>
          <w:tcPr>
            <w:tcW w:w="855" w:type="dxa"/>
            <w:vAlign w:val="center"/>
          </w:tcPr>
          <w:p>
            <w:pPr>
              <w:jc w:val="center"/>
              <w:rPr>
                <w:rFonts w:ascii="宋体" w:hAnsi="宋体" w:cs="宋体"/>
                <w:sz w:val="18"/>
                <w:szCs w:val="18"/>
              </w:rPr>
            </w:pPr>
            <w:r>
              <w:rPr>
                <w:rFonts w:hint="eastAsia" w:ascii="宋体" w:hAnsi="宋体" w:cs="宋体"/>
                <w:sz w:val="18"/>
                <w:szCs w:val="18"/>
              </w:rPr>
              <w:t>86</w:t>
            </w:r>
          </w:p>
        </w:tc>
        <w:tc>
          <w:tcPr>
            <w:tcW w:w="845" w:type="dxa"/>
            <w:vAlign w:val="center"/>
          </w:tcPr>
          <w:p>
            <w:pPr>
              <w:jc w:val="center"/>
              <w:rPr>
                <w:rFonts w:ascii="宋体" w:hAnsi="宋体" w:cs="宋体"/>
                <w:sz w:val="18"/>
                <w:szCs w:val="18"/>
              </w:rPr>
            </w:pPr>
            <w:r>
              <w:rPr>
                <w:rFonts w:hint="eastAsia" w:ascii="宋体" w:hAnsi="宋体" w:cs="宋体"/>
                <w:sz w:val="18"/>
                <w:szCs w:val="18"/>
              </w:rPr>
              <w:t>1032</w:t>
            </w:r>
          </w:p>
        </w:tc>
        <w:tc>
          <w:tcPr>
            <w:tcW w:w="1102" w:type="dxa"/>
            <w:vMerge w:val="continue"/>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9" w:type="dxa"/>
            <w:vAlign w:val="center"/>
          </w:tcPr>
          <w:p>
            <w:pPr>
              <w:jc w:val="center"/>
              <w:rPr>
                <w:rFonts w:ascii="宋体" w:hAnsi="宋体" w:cs="宋体"/>
                <w:sz w:val="18"/>
                <w:szCs w:val="18"/>
              </w:rPr>
            </w:pPr>
            <w:r>
              <w:rPr>
                <w:rFonts w:hint="eastAsia" w:ascii="宋体" w:hAnsi="宋体" w:cs="宋体"/>
                <w:sz w:val="18"/>
                <w:szCs w:val="18"/>
              </w:rPr>
              <w:t>3</w:t>
            </w:r>
          </w:p>
        </w:tc>
        <w:tc>
          <w:tcPr>
            <w:tcW w:w="2637" w:type="dxa"/>
            <w:vAlign w:val="center"/>
          </w:tcPr>
          <w:p>
            <w:pPr>
              <w:jc w:val="center"/>
              <w:rPr>
                <w:rFonts w:ascii="宋体" w:hAnsi="宋体" w:cs="宋体"/>
                <w:sz w:val="18"/>
                <w:szCs w:val="18"/>
              </w:rPr>
            </w:pPr>
            <w:r>
              <w:rPr>
                <w:rFonts w:hint="eastAsia" w:ascii="宋体" w:hAnsi="宋体" w:cs="宋体"/>
                <w:sz w:val="18"/>
                <w:szCs w:val="18"/>
              </w:rPr>
              <w:t>昆明高新区学校品质提升工程（高新区各公办学校护眼灯更换）三标段</w:t>
            </w:r>
          </w:p>
        </w:tc>
        <w:tc>
          <w:tcPr>
            <w:tcW w:w="2988" w:type="dxa"/>
            <w:vAlign w:val="center"/>
          </w:tcPr>
          <w:p>
            <w:pPr>
              <w:jc w:val="center"/>
              <w:rPr>
                <w:rFonts w:ascii="宋体" w:hAnsi="宋体" w:cs="宋体"/>
                <w:sz w:val="18"/>
                <w:szCs w:val="18"/>
              </w:rPr>
            </w:pPr>
            <w:r>
              <w:rPr>
                <w:rFonts w:hint="eastAsia" w:ascii="宋体" w:hAnsi="宋体" w:cs="宋体"/>
                <w:sz w:val="18"/>
                <w:szCs w:val="18"/>
              </w:rPr>
              <w:t>高新一小经典校区教室护眼灯更换</w:t>
            </w:r>
          </w:p>
        </w:tc>
        <w:tc>
          <w:tcPr>
            <w:tcW w:w="855" w:type="dxa"/>
            <w:vAlign w:val="center"/>
          </w:tcPr>
          <w:p>
            <w:pPr>
              <w:jc w:val="center"/>
              <w:rPr>
                <w:rFonts w:ascii="宋体" w:hAnsi="宋体" w:cs="宋体"/>
                <w:sz w:val="18"/>
                <w:szCs w:val="18"/>
              </w:rPr>
            </w:pPr>
            <w:r>
              <w:rPr>
                <w:rFonts w:hint="eastAsia" w:ascii="宋体" w:hAnsi="宋体" w:cs="宋体"/>
                <w:sz w:val="18"/>
                <w:szCs w:val="18"/>
              </w:rPr>
              <w:t>76</w:t>
            </w:r>
          </w:p>
        </w:tc>
        <w:tc>
          <w:tcPr>
            <w:tcW w:w="845" w:type="dxa"/>
            <w:vAlign w:val="center"/>
          </w:tcPr>
          <w:p>
            <w:pPr>
              <w:jc w:val="center"/>
              <w:rPr>
                <w:rFonts w:ascii="宋体" w:hAnsi="宋体" w:cs="宋体"/>
                <w:sz w:val="18"/>
                <w:szCs w:val="18"/>
              </w:rPr>
            </w:pPr>
            <w:r>
              <w:rPr>
                <w:rFonts w:hint="eastAsia" w:ascii="宋体" w:hAnsi="宋体" w:cs="宋体"/>
                <w:sz w:val="18"/>
                <w:szCs w:val="18"/>
              </w:rPr>
              <w:t>912</w:t>
            </w:r>
          </w:p>
        </w:tc>
        <w:tc>
          <w:tcPr>
            <w:tcW w:w="1102" w:type="dxa"/>
            <w:vMerge w:val="continue"/>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jc w:val="center"/>
              <w:rPr>
                <w:rFonts w:ascii="宋体" w:hAnsi="宋体" w:cs="宋体"/>
                <w:sz w:val="18"/>
                <w:szCs w:val="18"/>
              </w:rPr>
            </w:pPr>
            <w:r>
              <w:rPr>
                <w:rFonts w:hint="eastAsia" w:ascii="宋体" w:hAnsi="宋体" w:cs="宋体"/>
                <w:sz w:val="18"/>
                <w:szCs w:val="18"/>
              </w:rPr>
              <w:t>4</w:t>
            </w:r>
          </w:p>
        </w:tc>
        <w:tc>
          <w:tcPr>
            <w:tcW w:w="2637" w:type="dxa"/>
            <w:vAlign w:val="center"/>
          </w:tcPr>
          <w:p>
            <w:pPr>
              <w:jc w:val="center"/>
              <w:rPr>
                <w:rFonts w:ascii="宋体" w:hAnsi="宋体" w:cs="宋体"/>
                <w:sz w:val="18"/>
                <w:szCs w:val="18"/>
              </w:rPr>
            </w:pPr>
            <w:r>
              <w:rPr>
                <w:rFonts w:hint="eastAsia" w:ascii="宋体" w:hAnsi="宋体" w:cs="宋体"/>
                <w:sz w:val="18"/>
                <w:szCs w:val="18"/>
              </w:rPr>
              <w:t>昆明高新区学校品质提升工程（高新区各公办学校护眼灯更换）四标段</w:t>
            </w:r>
          </w:p>
        </w:tc>
        <w:tc>
          <w:tcPr>
            <w:tcW w:w="2988" w:type="dxa"/>
            <w:vAlign w:val="center"/>
          </w:tcPr>
          <w:p>
            <w:pPr>
              <w:jc w:val="center"/>
              <w:rPr>
                <w:rFonts w:ascii="宋体" w:hAnsi="宋体" w:cs="宋体"/>
                <w:sz w:val="18"/>
                <w:szCs w:val="18"/>
              </w:rPr>
            </w:pPr>
            <w:r>
              <w:rPr>
                <w:rFonts w:hint="eastAsia" w:ascii="宋体" w:hAnsi="宋体" w:cs="宋体"/>
                <w:sz w:val="18"/>
                <w:szCs w:val="18"/>
              </w:rPr>
              <w:t>高新一小科医路校区教室护眼灯更换、高新二中教室护眼灯更换</w:t>
            </w:r>
          </w:p>
        </w:tc>
        <w:tc>
          <w:tcPr>
            <w:tcW w:w="855" w:type="dxa"/>
            <w:vAlign w:val="center"/>
          </w:tcPr>
          <w:p>
            <w:pPr>
              <w:jc w:val="center"/>
              <w:rPr>
                <w:rFonts w:ascii="宋体" w:hAnsi="宋体" w:cs="宋体"/>
                <w:sz w:val="18"/>
                <w:szCs w:val="18"/>
              </w:rPr>
            </w:pPr>
            <w:r>
              <w:rPr>
                <w:rFonts w:hint="eastAsia" w:ascii="宋体" w:hAnsi="宋体" w:cs="宋体"/>
                <w:sz w:val="18"/>
                <w:szCs w:val="18"/>
              </w:rPr>
              <w:t>95</w:t>
            </w:r>
          </w:p>
        </w:tc>
        <w:tc>
          <w:tcPr>
            <w:tcW w:w="845" w:type="dxa"/>
            <w:vAlign w:val="center"/>
          </w:tcPr>
          <w:p>
            <w:pPr>
              <w:jc w:val="center"/>
              <w:rPr>
                <w:rFonts w:ascii="宋体" w:hAnsi="宋体" w:cs="宋体"/>
                <w:sz w:val="18"/>
                <w:szCs w:val="18"/>
              </w:rPr>
            </w:pPr>
            <w:r>
              <w:rPr>
                <w:rFonts w:hint="eastAsia" w:ascii="宋体" w:hAnsi="宋体" w:cs="宋体"/>
                <w:sz w:val="18"/>
                <w:szCs w:val="18"/>
              </w:rPr>
              <w:t>1140</w:t>
            </w:r>
          </w:p>
        </w:tc>
        <w:tc>
          <w:tcPr>
            <w:tcW w:w="1102" w:type="dxa"/>
            <w:vMerge w:val="continue"/>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pPr>
              <w:jc w:val="center"/>
              <w:rPr>
                <w:rFonts w:ascii="宋体" w:hAnsi="宋体" w:cs="宋体"/>
                <w:sz w:val="18"/>
                <w:szCs w:val="18"/>
              </w:rPr>
            </w:pPr>
            <w:r>
              <w:rPr>
                <w:rFonts w:hint="eastAsia" w:ascii="宋体" w:hAnsi="宋体" w:cs="宋体"/>
                <w:sz w:val="18"/>
                <w:szCs w:val="18"/>
              </w:rPr>
              <w:t>5</w:t>
            </w:r>
          </w:p>
        </w:tc>
        <w:tc>
          <w:tcPr>
            <w:tcW w:w="5625" w:type="dxa"/>
            <w:gridSpan w:val="2"/>
            <w:vAlign w:val="center"/>
          </w:tcPr>
          <w:p>
            <w:pPr>
              <w:jc w:val="center"/>
              <w:rPr>
                <w:rFonts w:ascii="宋体" w:hAnsi="宋体" w:cs="宋体"/>
                <w:sz w:val="18"/>
                <w:szCs w:val="18"/>
              </w:rPr>
            </w:pPr>
            <w:r>
              <w:rPr>
                <w:rFonts w:hint="eastAsia" w:ascii="宋体" w:hAnsi="宋体" w:cs="宋体"/>
                <w:sz w:val="18"/>
                <w:szCs w:val="18"/>
              </w:rPr>
              <w:t>合计</w:t>
            </w:r>
          </w:p>
        </w:tc>
        <w:tc>
          <w:tcPr>
            <w:tcW w:w="855" w:type="dxa"/>
            <w:vAlign w:val="center"/>
          </w:tcPr>
          <w:p>
            <w:pPr>
              <w:jc w:val="center"/>
              <w:rPr>
                <w:rFonts w:ascii="宋体" w:hAnsi="宋体" w:cs="宋体"/>
                <w:sz w:val="18"/>
                <w:szCs w:val="18"/>
              </w:rPr>
            </w:pPr>
            <w:r>
              <w:rPr>
                <w:rFonts w:hint="eastAsia" w:ascii="宋体" w:hAnsi="宋体" w:cs="宋体"/>
                <w:sz w:val="18"/>
                <w:szCs w:val="18"/>
              </w:rPr>
              <w:t>325</w:t>
            </w:r>
          </w:p>
        </w:tc>
        <w:tc>
          <w:tcPr>
            <w:tcW w:w="845" w:type="dxa"/>
            <w:vAlign w:val="center"/>
          </w:tcPr>
          <w:p>
            <w:pPr>
              <w:jc w:val="center"/>
              <w:rPr>
                <w:rFonts w:ascii="宋体" w:hAnsi="宋体" w:cs="宋体"/>
                <w:sz w:val="18"/>
                <w:szCs w:val="18"/>
              </w:rPr>
            </w:pPr>
            <w:r>
              <w:rPr>
                <w:rFonts w:hint="eastAsia" w:ascii="宋体" w:hAnsi="宋体" w:cs="宋体"/>
                <w:sz w:val="18"/>
                <w:szCs w:val="18"/>
              </w:rPr>
              <w:t>3900</w:t>
            </w:r>
          </w:p>
        </w:tc>
        <w:tc>
          <w:tcPr>
            <w:tcW w:w="1102" w:type="dxa"/>
            <w:vMerge w:val="continue"/>
            <w:vAlign w:val="center"/>
          </w:tcPr>
          <w:p>
            <w:pPr>
              <w:jc w:val="center"/>
              <w:rPr>
                <w:rFonts w:ascii="宋体" w:hAnsi="宋体" w:cs="宋体"/>
                <w:sz w:val="18"/>
                <w:szCs w:val="18"/>
              </w:rPr>
            </w:pPr>
          </w:p>
        </w:tc>
      </w:tr>
    </w:tbl>
    <w:p>
      <w:pPr>
        <w:ind w:firstLine="420" w:firstLineChars="200"/>
      </w:pPr>
      <w:r>
        <w:rPr>
          <w:rFonts w:hint="eastAsia"/>
        </w:rPr>
        <w:t>2、交付时间：</w:t>
      </w:r>
      <w:r>
        <w:rPr>
          <w:rFonts w:hint="eastAsia" w:ascii="宋体" w:hAnsi="宋体" w:cs="宋体"/>
          <w:snapToGrid w:val="0"/>
          <w:kern w:val="0"/>
        </w:rPr>
        <w:t>自合同签订之日起</w:t>
      </w:r>
      <w:r>
        <w:rPr>
          <w:rFonts w:hint="eastAsia" w:ascii="宋体" w:hAnsi="宋体" w:cs="宋体"/>
          <w:snapToGrid w:val="0"/>
          <w:kern w:val="0"/>
          <w:u w:val="single"/>
        </w:rPr>
        <w:t>30</w:t>
      </w:r>
      <w:r>
        <w:rPr>
          <w:rFonts w:hint="eastAsia" w:ascii="宋体" w:hAnsi="宋体" w:cs="宋体"/>
          <w:snapToGrid w:val="0"/>
          <w:kern w:val="0"/>
        </w:rPr>
        <w:t>日历天内完成供货、安装及调试完毕。</w:t>
      </w:r>
    </w:p>
    <w:p>
      <w:pPr>
        <w:ind w:firstLine="420" w:firstLineChars="200"/>
      </w:pPr>
      <w:r>
        <w:rPr>
          <w:rFonts w:hint="eastAsia"/>
        </w:rPr>
        <w:t>3、实施地点：昆明高新区区属各学校（具体以采购人指定地点为准）</w:t>
      </w:r>
    </w:p>
    <w:p>
      <w:pPr>
        <w:keepNext/>
        <w:keepLines/>
        <w:spacing w:before="120" w:after="120" w:line="360" w:lineRule="auto"/>
        <w:ind w:left="720" w:hanging="720"/>
        <w:outlineLvl w:val="2"/>
        <w:rPr>
          <w:b/>
          <w:bCs/>
          <w:sz w:val="22"/>
          <w:szCs w:val="22"/>
        </w:rPr>
      </w:pPr>
      <w:bookmarkStart w:id="19" w:name="_Toc118470083"/>
      <w:r>
        <w:rPr>
          <w:rFonts w:hint="eastAsia"/>
          <w:b/>
          <w:bCs/>
          <w:sz w:val="22"/>
          <w:szCs w:val="22"/>
        </w:rPr>
        <w:t>（五）采购标的需满足的服务标准、期限、效率等要求；</w:t>
      </w:r>
      <w:bookmarkEnd w:id="19"/>
      <w:r>
        <w:rPr>
          <w:rFonts w:hint="eastAsia"/>
          <w:b/>
          <w:bCs/>
          <w:sz w:val="22"/>
          <w:szCs w:val="22"/>
        </w:rPr>
        <w:t xml:space="preserve"> </w:t>
      </w:r>
    </w:p>
    <w:p>
      <w:pPr>
        <w:spacing w:line="500" w:lineRule="exact"/>
        <w:ind w:firstLine="316" w:firstLineChars="150"/>
        <w:rPr>
          <w:rFonts w:ascii="宋体" w:hAnsi="宋体" w:cs="宋体"/>
          <w:b/>
          <w:bCs/>
          <w:szCs w:val="18"/>
        </w:rPr>
      </w:pPr>
      <w:r>
        <w:rPr>
          <w:rFonts w:hint="eastAsia" w:ascii="宋体" w:hAnsi="宋体" w:cs="宋体"/>
          <w:b/>
          <w:bCs/>
          <w:szCs w:val="18"/>
        </w:rPr>
        <w:t>1、服务标准</w:t>
      </w:r>
    </w:p>
    <w:p>
      <w:pPr>
        <w:spacing w:line="500" w:lineRule="exact"/>
        <w:ind w:firstLine="315" w:firstLineChars="150"/>
        <w:rPr>
          <w:rFonts w:ascii="宋体" w:hAnsi="宋体"/>
          <w:szCs w:val="18"/>
        </w:rPr>
      </w:pPr>
      <w:r>
        <w:rPr>
          <w:rFonts w:hint="eastAsia" w:ascii="宋体" w:hAnsi="宋体" w:cs="宋体"/>
          <w:szCs w:val="18"/>
        </w:rPr>
        <w:t>（1）质保期内，中标供应商应定期对产品进行日常维护保养，至少每半年到用户现场进行现场巡检和调研,及时跟踪产品使用及质量的变化情况，更换损坏、有缺陷的光源或灯具。当光源或灯具因光衰不能满足要求时，应及时更新光源或灯具，消除设备使用故障及安全隐患，确保学校教育教学工作正常开展。</w:t>
      </w:r>
    </w:p>
    <w:p>
      <w:pPr>
        <w:spacing w:line="500" w:lineRule="exact"/>
        <w:ind w:firstLine="315" w:firstLineChars="150"/>
        <w:rPr>
          <w:rFonts w:ascii="宋体" w:hAnsi="宋体" w:cs="宋体"/>
          <w:szCs w:val="18"/>
        </w:rPr>
      </w:pPr>
      <w:r>
        <w:rPr>
          <w:rFonts w:hint="eastAsia" w:ascii="宋体" w:hAnsi="宋体" w:cs="宋体"/>
          <w:szCs w:val="18"/>
        </w:rPr>
        <w:t>（2）质保期内，中标供应商应保证接到通知后及时进行现场处理，并应在售后服务承诺书中注明售后服务响应时间以及保证措施。若设备发生重大故障，收到采购人通知后，中标供应商及时给用户做出答复，响应时间为2小时，并在4小时内到达现场服务,24小时内解决问题。维修所需费用由供方承担。</w:t>
      </w:r>
    </w:p>
    <w:p>
      <w:pPr>
        <w:spacing w:line="500" w:lineRule="exact"/>
        <w:ind w:firstLine="315" w:firstLineChars="150"/>
        <w:rPr>
          <w:rFonts w:ascii="宋体" w:hAnsi="宋体"/>
          <w:szCs w:val="18"/>
        </w:rPr>
      </w:pPr>
      <w:r>
        <w:rPr>
          <w:rFonts w:hint="eastAsia" w:ascii="宋体" w:hAnsi="宋体" w:cs="宋体"/>
          <w:szCs w:val="18"/>
        </w:rPr>
        <w:t>（3）对于故障维修无论是在质保期内还是在质保期外，都应及时给予答复和解决。</w:t>
      </w:r>
    </w:p>
    <w:p>
      <w:pPr>
        <w:spacing w:line="500" w:lineRule="exact"/>
        <w:ind w:firstLine="315" w:firstLineChars="150"/>
        <w:rPr>
          <w:rFonts w:ascii="宋体" w:hAnsi="宋体" w:cs="宋体"/>
          <w:szCs w:val="18"/>
        </w:rPr>
      </w:pPr>
      <w:r>
        <w:rPr>
          <w:rFonts w:hint="eastAsia" w:ascii="宋体" w:hAnsi="宋体" w:cs="宋体"/>
          <w:szCs w:val="18"/>
        </w:rPr>
        <w:t>（4）免费维修、保养服务期后，若设备发生重大故障，收到采购人通知后，中标供应商必须在4小时内派维修人员上门修理并优惠收费。</w:t>
      </w:r>
    </w:p>
    <w:p>
      <w:pPr>
        <w:spacing w:line="500" w:lineRule="exact"/>
        <w:ind w:firstLine="316" w:firstLineChars="150"/>
        <w:rPr>
          <w:rFonts w:ascii="宋体" w:hAnsi="宋体"/>
          <w:szCs w:val="18"/>
        </w:rPr>
      </w:pPr>
      <w:r>
        <w:rPr>
          <w:rFonts w:hint="eastAsia" w:ascii="宋体" w:hAnsi="宋体" w:cs="宋体"/>
          <w:b/>
          <w:bCs/>
          <w:szCs w:val="18"/>
        </w:rPr>
        <w:t>2、期限及效率</w:t>
      </w:r>
    </w:p>
    <w:p>
      <w:pPr>
        <w:spacing w:line="500" w:lineRule="exact"/>
        <w:ind w:firstLine="315" w:firstLineChars="150"/>
        <w:rPr>
          <w:rFonts w:ascii="宋体" w:hAnsi="宋体" w:cs="宋体"/>
          <w:szCs w:val="18"/>
        </w:rPr>
      </w:pPr>
      <w:r>
        <w:rPr>
          <w:rFonts w:hint="eastAsia"/>
        </w:rPr>
        <w:t>（1）服务期限：自合同签订之日起30日历天内完成供货、安装及调试完毕。</w:t>
      </w:r>
    </w:p>
    <w:p>
      <w:pPr>
        <w:spacing w:line="500" w:lineRule="exact"/>
        <w:ind w:firstLine="315" w:firstLineChars="150"/>
      </w:pPr>
      <w:r>
        <w:rPr>
          <w:rFonts w:hint="eastAsia" w:ascii="宋体" w:hAnsi="宋体" w:cs="宋体"/>
          <w:szCs w:val="18"/>
        </w:rPr>
        <w:t>（2）</w:t>
      </w:r>
      <w:r>
        <w:rPr>
          <w:rFonts w:hint="eastAsia"/>
        </w:rPr>
        <w:t>质保期：质保5年；质保期内衰减度超过超过国家标准的，必须免费更换。</w:t>
      </w:r>
    </w:p>
    <w:p>
      <w:pPr>
        <w:spacing w:line="500" w:lineRule="exact"/>
        <w:ind w:firstLine="315" w:firstLineChars="150"/>
        <w:rPr>
          <w:rFonts w:ascii="宋体" w:hAnsi="宋体"/>
          <w:szCs w:val="18"/>
        </w:rPr>
      </w:pPr>
      <w:r>
        <w:rPr>
          <w:rFonts w:hint="eastAsia"/>
        </w:rPr>
        <w:t>（3）</w:t>
      </w:r>
      <w:r>
        <w:rPr>
          <w:rFonts w:hint="eastAsia" w:ascii="宋体" w:hAnsi="宋体" w:cs="宋体"/>
          <w:szCs w:val="18"/>
        </w:rPr>
        <w:t>质保期内提供7×24小时服务，具体需求：提供5年7×24小时现场响应服务；提供5年的免费不计次数修改服务。</w:t>
      </w:r>
    </w:p>
    <w:p>
      <w:pPr>
        <w:spacing w:line="500" w:lineRule="exact"/>
        <w:ind w:firstLine="315" w:firstLineChars="150"/>
      </w:pPr>
      <w:r>
        <w:rPr>
          <w:rFonts w:hint="eastAsia" w:ascii="宋体" w:hAnsi="宋体" w:cs="宋体"/>
          <w:szCs w:val="18"/>
        </w:rPr>
        <w:t>（4）投标人应在投标文件中明确列出用户培训计划、列出所投标设备在安装过程中的技术服务条款。</w:t>
      </w:r>
    </w:p>
    <w:p>
      <w:pPr>
        <w:ind w:firstLine="420" w:firstLineChars="200"/>
      </w:pPr>
    </w:p>
    <w:p>
      <w:pPr>
        <w:keepNext/>
        <w:keepLines/>
        <w:spacing w:before="120" w:after="120" w:line="360" w:lineRule="auto"/>
        <w:ind w:left="720" w:hanging="720"/>
        <w:outlineLvl w:val="2"/>
        <w:rPr>
          <w:b/>
          <w:bCs/>
          <w:sz w:val="22"/>
          <w:szCs w:val="22"/>
        </w:rPr>
      </w:pPr>
      <w:bookmarkStart w:id="20" w:name="_Toc118470084"/>
      <w:r>
        <w:rPr>
          <w:rFonts w:hint="eastAsia"/>
          <w:b/>
          <w:bCs/>
          <w:sz w:val="22"/>
          <w:szCs w:val="22"/>
        </w:rPr>
        <w:t>（六）采购标的的验收标准；</w:t>
      </w:r>
      <w:bookmarkEnd w:id="20"/>
      <w:r>
        <w:rPr>
          <w:rFonts w:hint="eastAsia"/>
          <w:b/>
          <w:bCs/>
          <w:sz w:val="22"/>
          <w:szCs w:val="22"/>
        </w:rPr>
        <w:t xml:space="preserve"> </w:t>
      </w:r>
    </w:p>
    <w:p>
      <w:pPr>
        <w:spacing w:line="500" w:lineRule="exact"/>
        <w:ind w:firstLine="315" w:firstLineChars="150"/>
        <w:rPr>
          <w:rFonts w:ascii="宋体" w:hAnsi="宋体" w:cs="宋体"/>
          <w:szCs w:val="18"/>
        </w:rPr>
      </w:pPr>
      <w:r>
        <w:rPr>
          <w:rFonts w:hint="eastAsia" w:ascii="宋体" w:hAnsi="宋体" w:cs="宋体"/>
          <w:szCs w:val="18"/>
        </w:rPr>
        <w:t>1、符合《中小学校采光设计规范标准》（GB50099-2011）、《中小学校教室采光和照明卫生标准》（GB 7793-2010）、《中小学校普通教室照明设计安装卫生要求》（GBT36876-2018）、《灯具分布光度测量的一般要求》（GBT9468-2008）、《固态照明产品的电气和光度测量方法》（IES LM-79-08）、《照明闪烁的潜在健康影响》（IEEE PAR 1789-2013LED）/《IEEE std 1789-2015》、《灯和灯系统的光生物安全性》（GB/T 20145-2006）。</w:t>
      </w:r>
    </w:p>
    <w:p>
      <w:pPr>
        <w:spacing w:line="500" w:lineRule="exact"/>
        <w:ind w:firstLine="315" w:firstLineChars="150"/>
        <w:rPr>
          <w:rFonts w:ascii="宋体" w:hAnsi="宋体" w:cs="宋体"/>
          <w:szCs w:val="18"/>
        </w:rPr>
      </w:pPr>
      <w:r>
        <w:rPr>
          <w:rFonts w:hint="eastAsia" w:ascii="宋体" w:hAnsi="宋体" w:cs="宋体"/>
          <w:szCs w:val="18"/>
        </w:rPr>
        <w:t>2、必须达到合同约定的所有要求；</w:t>
      </w:r>
    </w:p>
    <w:p>
      <w:pPr>
        <w:spacing w:line="500" w:lineRule="exact"/>
        <w:ind w:firstLine="420" w:firstLineChars="200"/>
        <w:rPr>
          <w:rFonts w:ascii="宋体" w:hAnsi="宋体" w:cs="宋体"/>
          <w:szCs w:val="18"/>
        </w:rPr>
      </w:pPr>
      <w:r>
        <w:rPr>
          <w:rFonts w:hint="eastAsia" w:ascii="宋体" w:hAnsi="宋体" w:cs="宋体"/>
          <w:szCs w:val="18"/>
        </w:rPr>
        <w:t>3、提供的产品是全新的、符合国家质量标准、具有生产厂家质量保证书（及合格证明）的产品。采购人保留对灯具委托第三方检测机构进行检测的权利。</w:t>
      </w:r>
    </w:p>
    <w:p>
      <w:pPr>
        <w:spacing w:line="500" w:lineRule="exact"/>
        <w:ind w:firstLine="315" w:firstLineChars="150"/>
        <w:rPr>
          <w:rFonts w:ascii="宋体" w:hAnsi="宋体" w:cs="宋体"/>
          <w:szCs w:val="18"/>
        </w:rPr>
      </w:pPr>
      <w:r>
        <w:rPr>
          <w:rFonts w:hint="eastAsia" w:ascii="宋体" w:hAnsi="宋体" w:cs="宋体"/>
          <w:szCs w:val="18"/>
        </w:rPr>
        <w:t>4、质保期为验收合格移交后不少于五年。</w:t>
      </w:r>
    </w:p>
    <w:p>
      <w:pPr>
        <w:spacing w:line="500" w:lineRule="exact"/>
        <w:ind w:firstLine="315" w:firstLineChars="150"/>
        <w:rPr>
          <w:rFonts w:ascii="宋体" w:hAnsi="宋体" w:cs="宋体"/>
          <w:szCs w:val="18"/>
        </w:rPr>
      </w:pPr>
      <w:r>
        <w:rPr>
          <w:rFonts w:hint="eastAsia" w:ascii="宋体" w:hAnsi="宋体" w:cs="宋体"/>
          <w:szCs w:val="18"/>
        </w:rPr>
        <w:t>5、中标供应商需按采购人指定的地点进行统一交货，验收测试按国家相关的规定和标准执行，一次性通过验收。</w:t>
      </w:r>
    </w:p>
    <w:p>
      <w:pPr>
        <w:spacing w:line="500" w:lineRule="exact"/>
        <w:ind w:firstLine="315" w:firstLineChars="150"/>
        <w:rPr>
          <w:sz w:val="18"/>
          <w:szCs w:val="18"/>
        </w:rPr>
      </w:pPr>
      <w:r>
        <w:rPr>
          <w:rFonts w:hint="eastAsia" w:ascii="宋体" w:hAnsi="宋体" w:cs="宋体"/>
          <w:szCs w:val="18"/>
        </w:rPr>
        <w:t>6、涉及特种设备或国家有明确要求的采购内容须按相关规定执行。</w:t>
      </w:r>
    </w:p>
    <w:p>
      <w:pPr>
        <w:keepNext/>
        <w:keepLines/>
        <w:spacing w:before="120" w:after="120" w:line="360" w:lineRule="auto"/>
        <w:ind w:left="720" w:hanging="720"/>
        <w:outlineLvl w:val="2"/>
        <w:rPr>
          <w:b/>
          <w:bCs/>
          <w:sz w:val="22"/>
          <w:szCs w:val="22"/>
        </w:rPr>
      </w:pPr>
      <w:bookmarkStart w:id="21" w:name="_Toc118470085"/>
      <w:r>
        <w:rPr>
          <w:rFonts w:hint="eastAsia"/>
          <w:b/>
          <w:bCs/>
          <w:sz w:val="22"/>
          <w:szCs w:val="22"/>
        </w:rPr>
        <w:t>（七）采购标的的其他技术、服务等要求。</w:t>
      </w:r>
      <w:bookmarkEnd w:id="21"/>
    </w:p>
    <w:p>
      <w:pPr>
        <w:spacing w:line="500" w:lineRule="exact"/>
        <w:ind w:firstLine="420" w:firstLineChars="200"/>
        <w:rPr>
          <w:rFonts w:ascii="宋体" w:hAnsi="宋体"/>
          <w:szCs w:val="18"/>
          <w:u w:val="single"/>
        </w:rPr>
      </w:pPr>
      <w:r>
        <w:rPr>
          <w:rFonts w:hint="eastAsia" w:ascii="宋体" w:hAnsi="宋体" w:cs="宋体"/>
          <w:szCs w:val="18"/>
        </w:rPr>
        <w:t>1、报价范围为采购产品的货物供应、运输、安装、调试、培训、售后服务，</w:t>
      </w:r>
      <w:r>
        <w:rPr>
          <w:rFonts w:hint="eastAsia" w:ascii="宋体" w:cs="宋体"/>
        </w:rPr>
        <w:t>拆除旧灯具、根据设计方案安装新灯具、线路改造所需辅材（含开关）</w:t>
      </w:r>
      <w:r>
        <w:rPr>
          <w:rFonts w:hint="eastAsia" w:ascii="宋体" w:hAnsi="宋体" w:cs="宋体"/>
          <w:szCs w:val="18"/>
        </w:rPr>
        <w:t>等，须提供相关承诺。</w:t>
      </w:r>
    </w:p>
    <w:p>
      <w:pPr>
        <w:spacing w:line="500" w:lineRule="exact"/>
        <w:ind w:firstLine="420" w:firstLineChars="200"/>
        <w:rPr>
          <w:rFonts w:ascii="宋体" w:hAnsi="宋体" w:cs="宋体"/>
          <w:b/>
          <w:bCs/>
          <w:szCs w:val="18"/>
        </w:rPr>
      </w:pPr>
      <w:r>
        <w:rPr>
          <w:rFonts w:hint="eastAsia" w:ascii="宋体" w:hAnsi="宋体" w:cs="宋体"/>
          <w:szCs w:val="18"/>
        </w:rPr>
        <w:t>2、采购总价包含完成本项目采购范围的全部费用，包括但不仅限于以下：货物采购货物费、安装调试费、人工费及利润、税金、风险、售后服务等，且承担采购项目中明示和暗示的一切责任，一旦中标签订合同时，合同价不得因工作量及市场设备材料价格变化而调整。按采购文件提供的格式分项列报；运输费用包括短途运输费、装卸费用、加固费用、铁路或公路运输费、保险费用等。</w:t>
      </w:r>
    </w:p>
    <w:p>
      <w:pPr>
        <w:spacing w:line="500" w:lineRule="exact"/>
        <w:ind w:firstLine="420" w:firstLineChars="200"/>
        <w:rPr>
          <w:rFonts w:ascii="宋体" w:hAnsi="宋体" w:cs="宋体"/>
          <w:szCs w:val="18"/>
        </w:rPr>
      </w:pPr>
      <w:r>
        <w:rPr>
          <w:rFonts w:hint="eastAsia" w:ascii="宋体" w:hAnsi="宋体" w:cs="宋体"/>
          <w:szCs w:val="18"/>
        </w:rPr>
        <w:t>3、本项目设有最高限价（招标控制价），招标控制价中灯具品牌及档次按国内一线品牌价格进行编制，投标人拟投产品档次不得低于该要求。</w:t>
      </w:r>
    </w:p>
    <w:p>
      <w:pPr>
        <w:spacing w:line="500" w:lineRule="exact"/>
        <w:ind w:firstLine="420" w:firstLineChars="200"/>
        <w:rPr>
          <w:rFonts w:ascii="宋体" w:hAnsi="宋体" w:cs="宋体"/>
          <w:szCs w:val="18"/>
        </w:rPr>
      </w:pPr>
      <w:r>
        <w:rPr>
          <w:rFonts w:hint="eastAsia" w:ascii="宋体" w:hAnsi="宋体" w:cs="宋体"/>
          <w:szCs w:val="18"/>
        </w:rPr>
        <w:t>4、投标人应在其技术能力证明文件中，详细陈述其在投标服务承诺中对用户的使用及日常维护培训计划作出切实可行的安排，以证明其完成合同的能力。</w:t>
      </w:r>
    </w:p>
    <w:p>
      <w:pPr>
        <w:spacing w:line="500" w:lineRule="exact"/>
        <w:ind w:firstLine="420" w:firstLineChars="200"/>
        <w:rPr>
          <w:rFonts w:ascii="宋体" w:hAnsi="宋体" w:cs="宋体"/>
          <w:szCs w:val="18"/>
        </w:rPr>
      </w:pPr>
      <w:r>
        <w:rPr>
          <w:rFonts w:hint="eastAsia" w:ascii="宋体" w:hAnsi="宋体" w:cs="宋体"/>
          <w:szCs w:val="18"/>
        </w:rPr>
        <w:t>5、投标人须保证使用方在使用期间不受第三方提出侵犯其专利权、商标权和工业设计权的起诉。</w:t>
      </w:r>
    </w:p>
    <w:p>
      <w:pPr>
        <w:spacing w:line="500" w:lineRule="exact"/>
        <w:ind w:firstLine="420" w:firstLineChars="200"/>
        <w:rPr>
          <w:rFonts w:ascii="宋体" w:hAnsi="宋体" w:cs="宋体"/>
          <w:szCs w:val="18"/>
        </w:rPr>
      </w:pPr>
      <w:r>
        <w:rPr>
          <w:rFonts w:hint="eastAsia" w:ascii="宋体" w:hAnsi="宋体" w:cs="宋体"/>
          <w:szCs w:val="18"/>
        </w:rPr>
        <w:t>6、中标供应商应对在项目维护的过程中，涉及到甲方的经营信息等商业秘密进行保密。双方应共同对系统中涉及的技术情报和资料进行保密。</w:t>
      </w:r>
    </w:p>
    <w:p>
      <w:pPr>
        <w:spacing w:line="500" w:lineRule="exact"/>
        <w:ind w:firstLine="420" w:firstLineChars="200"/>
        <w:rPr>
          <w:rFonts w:ascii="宋体" w:hAnsi="宋体" w:cs="宋体"/>
          <w:szCs w:val="18"/>
        </w:rPr>
      </w:pPr>
      <w:r>
        <w:rPr>
          <w:rFonts w:hint="eastAsia" w:ascii="宋体" w:hAnsi="宋体" w:cs="宋体"/>
          <w:szCs w:val="18"/>
        </w:rPr>
        <w:t>7、县级及以上教育部门、学校将及时掌握教学场所室内灯具运行质量情况，维护各种设施设备正常运行，保持视觉环境清洁卫生状况，出现问题及时整改、纠正，消除隐患。</w:t>
      </w:r>
    </w:p>
    <w:p/>
    <w:bookmarkEnd w:id="11"/>
    <w:bookmarkEnd w:id="12"/>
    <w:bookmarkEnd w:id="13"/>
    <w:bookmarkEnd w:id="14"/>
    <w:p>
      <w:pPr>
        <w:keepNext/>
        <w:keepLines/>
        <w:spacing w:before="120" w:after="120" w:line="360" w:lineRule="auto"/>
        <w:ind w:left="720" w:hanging="720"/>
        <w:rPr>
          <w:rFonts w:ascii="宋体" w:hAnsi="宋体" w:cs="宋体"/>
          <w:b/>
          <w:sz w:val="28"/>
          <w:szCs w:val="24"/>
        </w:rPr>
      </w:pPr>
      <w:r>
        <w:rPr>
          <w:rFonts w:hint="eastAsia" w:ascii="宋体" w:hAnsi="宋体" w:cs="宋体"/>
          <w:b/>
          <w:sz w:val="28"/>
          <w:szCs w:val="24"/>
        </w:rPr>
        <w:t>1、详细评审表</w:t>
      </w:r>
    </w:p>
    <w:tbl>
      <w:tblPr>
        <w:tblStyle w:val="1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665"/>
        <w:gridCol w:w="1519"/>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21" w:type="dxa"/>
            <w:vAlign w:val="center"/>
          </w:tcPr>
          <w:p>
            <w:pPr>
              <w:spacing w:line="320" w:lineRule="exact"/>
              <w:jc w:val="center"/>
              <w:rPr>
                <w:rFonts w:ascii="宋体" w:hAnsi="宋体" w:cs="宋体"/>
                <w:kern w:val="0"/>
              </w:rPr>
            </w:pPr>
            <w:r>
              <w:rPr>
                <w:rFonts w:hint="eastAsia" w:ascii="宋体" w:hAnsi="宋体" w:cs="宋体"/>
                <w:kern w:val="0"/>
              </w:rPr>
              <w:t>评审内容</w:t>
            </w:r>
          </w:p>
        </w:tc>
        <w:tc>
          <w:tcPr>
            <w:tcW w:w="665" w:type="dxa"/>
            <w:vAlign w:val="center"/>
          </w:tcPr>
          <w:p>
            <w:pPr>
              <w:spacing w:line="320" w:lineRule="exact"/>
              <w:jc w:val="center"/>
              <w:rPr>
                <w:rFonts w:ascii="宋体" w:hAnsi="宋体" w:cs="宋体"/>
                <w:kern w:val="0"/>
              </w:rPr>
            </w:pPr>
            <w:r>
              <w:rPr>
                <w:rFonts w:hint="eastAsia" w:ascii="宋体" w:hAnsi="宋体" w:cs="宋体"/>
                <w:kern w:val="0"/>
                <w:lang w:val="zh-CN"/>
              </w:rPr>
              <w:t>分值</w:t>
            </w:r>
          </w:p>
        </w:tc>
        <w:tc>
          <w:tcPr>
            <w:tcW w:w="1519" w:type="dxa"/>
            <w:vAlign w:val="center"/>
          </w:tcPr>
          <w:p>
            <w:pPr>
              <w:jc w:val="center"/>
              <w:rPr>
                <w:rFonts w:ascii="宋体" w:hAnsi="宋体" w:cs="宋体"/>
              </w:rPr>
            </w:pPr>
            <w:r>
              <w:rPr>
                <w:rFonts w:hint="eastAsia" w:ascii="宋体" w:hAnsi="宋体" w:cs="宋体"/>
              </w:rPr>
              <w:t>评分因素</w:t>
            </w:r>
          </w:p>
        </w:tc>
        <w:tc>
          <w:tcPr>
            <w:tcW w:w="6284" w:type="dxa"/>
            <w:vAlign w:val="center"/>
          </w:tcPr>
          <w:p>
            <w:pPr>
              <w:jc w:val="center"/>
              <w:rPr>
                <w:rFonts w:ascii="宋体" w:hAnsi="宋体" w:cs="宋体"/>
              </w:rPr>
            </w:pPr>
            <w:r>
              <w:rPr>
                <w:rFonts w:hint="eastAsia" w:ascii="宋体" w:hAnsi="宋体" w:cs="宋体"/>
                <w:kern w:val="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21" w:type="dxa"/>
            <w:vAlign w:val="center"/>
          </w:tcPr>
          <w:p>
            <w:pPr>
              <w:spacing w:line="320" w:lineRule="exact"/>
              <w:jc w:val="center"/>
              <w:rPr>
                <w:rFonts w:ascii="宋体" w:hAnsi="宋体" w:cs="宋体"/>
                <w:kern w:val="0"/>
              </w:rPr>
            </w:pPr>
            <w:r>
              <w:rPr>
                <w:rFonts w:hint="eastAsia" w:ascii="宋体" w:hAnsi="宋体" w:cs="宋体"/>
                <w:kern w:val="0"/>
              </w:rPr>
              <w:t>F1:</w:t>
            </w:r>
            <w:r>
              <w:rPr>
                <w:rFonts w:hint="eastAsia" w:ascii="宋体" w:hAnsi="宋体" w:cs="宋体"/>
                <w:kern w:val="0"/>
                <w:lang w:val="zh-CN"/>
              </w:rPr>
              <w:t>报价</w:t>
            </w:r>
            <w:r>
              <w:rPr>
                <w:rFonts w:hint="eastAsia" w:ascii="宋体" w:hAnsi="宋体" w:cs="宋体"/>
                <w:kern w:val="0"/>
              </w:rPr>
              <w:t>部分</w:t>
            </w:r>
          </w:p>
        </w:tc>
        <w:tc>
          <w:tcPr>
            <w:tcW w:w="665" w:type="dxa"/>
            <w:vAlign w:val="center"/>
          </w:tcPr>
          <w:p>
            <w:pPr>
              <w:spacing w:line="320" w:lineRule="exact"/>
              <w:jc w:val="center"/>
              <w:rPr>
                <w:rFonts w:ascii="宋体" w:hAnsi="宋体" w:cs="宋体"/>
                <w:kern w:val="0"/>
              </w:rPr>
            </w:pPr>
            <w:r>
              <w:rPr>
                <w:rFonts w:hint="eastAsia" w:ascii="宋体" w:hAnsi="宋体" w:cs="宋体"/>
                <w:kern w:val="0"/>
              </w:rPr>
              <w:t>满分30分</w:t>
            </w:r>
          </w:p>
        </w:tc>
        <w:tc>
          <w:tcPr>
            <w:tcW w:w="1519" w:type="dxa"/>
            <w:vAlign w:val="center"/>
          </w:tcPr>
          <w:p>
            <w:pPr>
              <w:jc w:val="center"/>
              <w:rPr>
                <w:rFonts w:ascii="宋体" w:hAnsi="宋体" w:cs="宋体"/>
              </w:rPr>
            </w:pPr>
            <w:r>
              <w:rPr>
                <w:rFonts w:hint="eastAsia" w:ascii="宋体" w:hAnsi="宋体" w:cs="宋体"/>
              </w:rPr>
              <w:t>投标报价（30分）</w:t>
            </w:r>
          </w:p>
        </w:tc>
        <w:tc>
          <w:tcPr>
            <w:tcW w:w="6284" w:type="dxa"/>
            <w:vAlign w:val="center"/>
          </w:tcPr>
          <w:p>
            <w:pPr>
              <w:rPr>
                <w:rFonts w:ascii="宋体" w:hAnsi="宋体" w:cs="宋体"/>
              </w:rPr>
            </w:pPr>
            <w:r>
              <w:rPr>
                <w:rFonts w:hint="eastAsia" w:ascii="宋体" w:hAnsi="宋体" w:cs="宋体"/>
              </w:rPr>
              <w:t>1、投标报价得分采用低价优先法计算，即满足招标文件要求且投标价格最低的投标报价为评标基准价，其价格分为满分。其他投标人的价格分统一按照下列公式计算:</w:t>
            </w:r>
          </w:p>
          <w:p>
            <w:pPr>
              <w:rPr>
                <w:rFonts w:ascii="宋体" w:hAnsi="宋体" w:cs="宋体"/>
                <w:b/>
                <w:bCs/>
              </w:rPr>
            </w:pPr>
            <w:r>
              <w:rPr>
                <w:rFonts w:hint="eastAsia" w:ascii="宋体" w:hAnsi="宋体" w:cs="宋体"/>
                <w:b/>
                <w:bCs/>
              </w:rPr>
              <w:t>投标报价得分=(评标基准价/投标报价)×30</w:t>
            </w:r>
          </w:p>
          <w:p>
            <w:pPr>
              <w:rPr>
                <w:rFonts w:ascii="宋体" w:hAnsi="宋体" w:cs="宋体"/>
              </w:rPr>
            </w:pPr>
            <w:r>
              <w:rPr>
                <w:rFonts w:hint="eastAsia" w:ascii="宋体" w:hAnsi="宋体" w:cs="宋体"/>
              </w:rPr>
              <w:t>因落实政府采购政策进行价格调整的，以调整后的价格计算评标基准价和投标报价。</w:t>
            </w:r>
          </w:p>
          <w:p>
            <w:pPr>
              <w:rPr>
                <w:rFonts w:ascii="宋体" w:hAnsi="宋体" w:cs="宋体"/>
              </w:rPr>
            </w:pPr>
            <w:r>
              <w:rPr>
                <w:rFonts w:hint="eastAsia" w:ascii="宋体" w:hAnsi="宋体" w:cs="宋体"/>
              </w:rPr>
              <w:t>2、按照财政部工业和信息化部关于印发《政府采购促进中小企业发展管理办法》的通知，《关于进一步加大政府采购支持中小企业力度的通知》财库〔2022〕19号，财库【2020】46号的规定，</w:t>
            </w:r>
            <w:r>
              <w:rPr>
                <w:rFonts w:hint="eastAsia" w:ascii="宋体" w:hAnsi="宋体" w:cs="宋体"/>
                <w:b/>
                <w:bCs/>
              </w:rPr>
              <w:t>在计算投标报价得分时，对小微企业的价格给予10%的扣除，用扣除后的价格参与评审，扣除后的价格仅作为评审价格不作为中标价。</w:t>
            </w:r>
            <w:r>
              <w:rPr>
                <w:rFonts w:hint="eastAsia" w:ascii="宋体" w:hAnsi="宋体" w:cs="宋体"/>
              </w:rPr>
              <w:t>小微企业需提供有效的《中小企业声明函》（中小企业声明函格式详见第六章投标文件部分格式）即可，如投标人提供虚假声明，将依法承担相应责任。</w:t>
            </w:r>
          </w:p>
          <w:p>
            <w:pPr>
              <w:rPr>
                <w:rFonts w:ascii="宋体" w:hAnsi="宋体" w:cs="宋体"/>
              </w:rPr>
            </w:pPr>
            <w:r>
              <w:rPr>
                <w:rFonts w:hint="eastAsia" w:ascii="宋体" w:hAnsi="宋体" w:cs="宋体"/>
              </w:rPr>
              <w:t>3、根据《关于政府采购支持监狱企业发展有关问题的通知》(财库[2014]68号)、《关于促进残疾人就业政府采购政策的通知》(财库[2017]141号)的规定，监狱企业或残疾人福利性单位参与本项目投标时，视同小型、微型企业享受价格扣除等优惠政策，且优先采购监狱企业或残疾人福利性单位的产品和服务。须提供由省级以上监狱管理局、戒毒管理局(含新疆生产建设兵团)出具的属于监狱企业的证明文件或《残疾人福利性单位声明函》并对声明的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821" w:type="dxa"/>
            <w:vMerge w:val="restart"/>
            <w:vAlign w:val="center"/>
          </w:tcPr>
          <w:p>
            <w:pPr>
              <w:jc w:val="center"/>
              <w:rPr>
                <w:rFonts w:ascii="宋体" w:hAnsi="宋体" w:cs="宋体"/>
              </w:rPr>
            </w:pPr>
            <w:r>
              <w:rPr>
                <w:rFonts w:hint="eastAsia" w:ascii="宋体" w:hAnsi="宋体" w:cs="宋体"/>
              </w:rPr>
              <w:t>F2:技术部分</w:t>
            </w:r>
          </w:p>
        </w:tc>
        <w:tc>
          <w:tcPr>
            <w:tcW w:w="665" w:type="dxa"/>
            <w:vMerge w:val="restart"/>
            <w:vAlign w:val="center"/>
          </w:tcPr>
          <w:p>
            <w:pPr>
              <w:jc w:val="center"/>
              <w:rPr>
                <w:rFonts w:ascii="宋体" w:hAnsi="宋体" w:cs="宋体"/>
              </w:rPr>
            </w:pPr>
            <w:r>
              <w:rPr>
                <w:rFonts w:hint="eastAsia" w:ascii="宋体" w:hAnsi="宋体" w:cs="宋体"/>
              </w:rPr>
              <w:t>满分50分</w:t>
            </w:r>
          </w:p>
        </w:tc>
        <w:tc>
          <w:tcPr>
            <w:tcW w:w="1519" w:type="dxa"/>
            <w:vAlign w:val="center"/>
          </w:tcPr>
          <w:p>
            <w:pPr>
              <w:jc w:val="center"/>
              <w:rPr>
                <w:rFonts w:ascii="宋体" w:hAnsi="宋体" w:cs="宋体"/>
              </w:rPr>
            </w:pPr>
            <w:r>
              <w:rPr>
                <w:rFonts w:hint="eastAsia" w:ascii="宋体" w:hAnsi="宋体" w:cs="宋体"/>
              </w:rPr>
              <w:t>技术参数响应招标文件要求的程度（10分）</w:t>
            </w:r>
          </w:p>
        </w:tc>
        <w:tc>
          <w:tcPr>
            <w:tcW w:w="6284" w:type="dxa"/>
            <w:vAlign w:val="center"/>
          </w:tcPr>
          <w:p>
            <w:pPr>
              <w:rPr>
                <w:rFonts w:ascii="宋体" w:hAnsi="宋体" w:cs="宋体"/>
              </w:rPr>
            </w:pPr>
            <w:r>
              <w:rPr>
                <w:rFonts w:hint="eastAsia" w:ascii="宋体" w:hAnsi="宋体" w:cs="宋体"/>
              </w:rPr>
              <w:t>投标人所投货物的技术参数完全满足或优于招标文件要求的，得满分10分。若技术参数每有1项不满足扣2分，扣完为止。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21" w:type="dxa"/>
            <w:vMerge w:val="continue"/>
            <w:vAlign w:val="center"/>
          </w:tcPr>
          <w:p>
            <w:pPr>
              <w:jc w:val="center"/>
              <w:rPr>
                <w:rFonts w:ascii="宋体" w:hAnsi="宋体" w:cs="宋体"/>
                <w:lang w:val="zh-CN"/>
              </w:rPr>
            </w:pPr>
          </w:p>
        </w:tc>
        <w:tc>
          <w:tcPr>
            <w:tcW w:w="665" w:type="dxa"/>
            <w:vMerge w:val="continue"/>
            <w:vAlign w:val="center"/>
          </w:tcPr>
          <w:p>
            <w:pPr>
              <w:jc w:val="center"/>
              <w:rPr>
                <w:rFonts w:ascii="宋体" w:hAnsi="宋体" w:cs="宋体"/>
              </w:rPr>
            </w:pPr>
          </w:p>
        </w:tc>
        <w:tc>
          <w:tcPr>
            <w:tcW w:w="1519" w:type="dxa"/>
            <w:vAlign w:val="center"/>
          </w:tcPr>
          <w:p>
            <w:pPr>
              <w:jc w:val="center"/>
              <w:rPr>
                <w:rFonts w:ascii="宋体" w:hAnsi="宋体" w:cs="宋体"/>
              </w:rPr>
            </w:pPr>
            <w:r>
              <w:rPr>
                <w:rFonts w:hint="eastAsia" w:ascii="宋体" w:hAnsi="宋体" w:cs="宋体"/>
              </w:rPr>
              <w:t>改造设计方案（10分）</w:t>
            </w:r>
          </w:p>
        </w:tc>
        <w:tc>
          <w:tcPr>
            <w:tcW w:w="6284" w:type="dxa"/>
          </w:tcPr>
          <w:p>
            <w:pPr>
              <w:rPr>
                <w:rFonts w:ascii="宋体" w:hAnsi="宋体" w:cs="宋体"/>
              </w:rPr>
            </w:pPr>
            <w:r>
              <w:rPr>
                <w:rFonts w:hint="eastAsia" w:ascii="宋体" w:hAnsi="宋体" w:cs="宋体"/>
              </w:rPr>
              <w:t>（1）根据本标段实际情况，所出具的改造设计方案（含灯具布局、照度分析、眩光分析及改造效果图等）全面具体、可行性强、安全性高的得10分。</w:t>
            </w:r>
          </w:p>
          <w:p>
            <w:pPr>
              <w:rPr>
                <w:rFonts w:ascii="宋体" w:hAnsi="宋体" w:cs="宋体"/>
              </w:rPr>
            </w:pPr>
            <w:r>
              <w:rPr>
                <w:rFonts w:hint="eastAsia" w:ascii="宋体" w:hAnsi="宋体" w:cs="宋体"/>
              </w:rPr>
              <w:t>（2）根据本标段实际情况，所出具的改造设计方案（含灯具布局、照度分析、眩光分析及改造效果图等）方案一般、可行性较强、安全性较高的得7分。</w:t>
            </w:r>
          </w:p>
          <w:p>
            <w:pPr>
              <w:rPr>
                <w:rFonts w:ascii="宋体" w:hAnsi="宋体" w:cs="宋体"/>
              </w:rPr>
            </w:pPr>
            <w:r>
              <w:rPr>
                <w:rFonts w:hint="eastAsia" w:ascii="宋体" w:hAnsi="宋体" w:cs="宋体"/>
              </w:rPr>
              <w:t>（3）根据本标段实际情况，所出具的改造设计方案（含灯具布局、照度分析、眩光分析及改造效果图等）方案较差、可行性一般、安全性一般的得4分。</w:t>
            </w:r>
          </w:p>
          <w:p>
            <w:pPr>
              <w:rPr>
                <w:rFonts w:ascii="宋体" w:hAnsi="宋体" w:cs="宋体"/>
              </w:rPr>
            </w:pPr>
            <w:r>
              <w:rPr>
                <w:rFonts w:hint="eastAsia" w:ascii="宋体" w:hAnsi="宋体" w:cs="宋体"/>
              </w:rPr>
              <w:t>（4）未按本标段提出改造设计方案或无改造设计方案的得0分。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21" w:type="dxa"/>
            <w:vMerge w:val="continue"/>
            <w:vAlign w:val="center"/>
          </w:tcPr>
          <w:p>
            <w:pPr>
              <w:jc w:val="center"/>
              <w:rPr>
                <w:rFonts w:ascii="宋体" w:hAnsi="宋体" w:cs="宋体"/>
                <w:lang w:val="zh-CN"/>
              </w:rPr>
            </w:pPr>
          </w:p>
        </w:tc>
        <w:tc>
          <w:tcPr>
            <w:tcW w:w="665" w:type="dxa"/>
            <w:vMerge w:val="continue"/>
            <w:vAlign w:val="center"/>
          </w:tcPr>
          <w:p>
            <w:pPr>
              <w:jc w:val="center"/>
              <w:rPr>
                <w:rFonts w:ascii="宋体" w:hAnsi="宋体" w:cs="宋体"/>
              </w:rPr>
            </w:pPr>
          </w:p>
        </w:tc>
        <w:tc>
          <w:tcPr>
            <w:tcW w:w="1519" w:type="dxa"/>
            <w:vAlign w:val="center"/>
          </w:tcPr>
          <w:p>
            <w:pPr>
              <w:jc w:val="center"/>
              <w:rPr>
                <w:rFonts w:ascii="宋体" w:hAnsi="宋体" w:cs="宋体"/>
              </w:rPr>
            </w:pPr>
            <w:r>
              <w:rPr>
                <w:rFonts w:hint="eastAsia" w:ascii="宋体" w:hAnsi="宋体" w:cs="宋体"/>
              </w:rPr>
              <w:t>供货及安装方案（20分）</w:t>
            </w:r>
          </w:p>
        </w:tc>
        <w:tc>
          <w:tcPr>
            <w:tcW w:w="6284" w:type="dxa"/>
            <w:vAlign w:val="center"/>
          </w:tcPr>
          <w:p>
            <w:pPr>
              <w:rPr>
                <w:rFonts w:ascii="宋体" w:hAnsi="宋体" w:cs="宋体"/>
              </w:rPr>
            </w:pPr>
            <w:r>
              <w:rPr>
                <w:rFonts w:hint="eastAsia" w:ascii="宋体" w:hAnsi="宋体" w:cs="宋体"/>
              </w:rPr>
              <w:t>投标人应针对本项目提出具体的方案，方案包含以下内容：①项目目标及方案（项目目标及方案至少包括以下内容：投标人对本项目的理解正确全面，对学校现状、用户需求了解充分，并针对性提供科学合理的实施方案；②项目交货、安装、调试方案及进度表；③组织架构及人员保障方案；④护眼灯维修人员培训计划及日常损坏临时修理方案。</w:t>
            </w:r>
          </w:p>
          <w:p>
            <w:pPr>
              <w:rPr>
                <w:rFonts w:ascii="宋体" w:hAnsi="宋体" w:cs="宋体"/>
              </w:rPr>
            </w:pPr>
            <w:r>
              <w:rPr>
                <w:rFonts w:hint="eastAsia" w:ascii="宋体" w:hAnsi="宋体" w:cs="宋体"/>
              </w:rPr>
              <w:t>具备项目目标及方案，项目交货、安装、调试方案及进度表，组织架构及人员保障方案，人员培训计划及日常运维方案，且表述上没有错误或缺失的得20分；</w:t>
            </w:r>
          </w:p>
          <w:p>
            <w:pPr>
              <w:rPr>
                <w:rFonts w:ascii="宋体" w:hAnsi="宋体" w:cs="宋体"/>
              </w:rPr>
            </w:pPr>
            <w:r>
              <w:rPr>
                <w:rFonts w:hint="eastAsia" w:ascii="宋体" w:hAnsi="宋体" w:cs="宋体"/>
              </w:rPr>
              <w:t>针对项目目标及方案，项目交货、安装、调试方案及进度表，组织架构及人员保障方案，护眼灯维修人员培训计划及日常损坏临时修理方案，任意一项缺乏表述的，每项扣4分。针对项目目标及方案，项目交货、安装、调试方案及进度表，组织架构及人员保障方案，护眼灯维修人员培训计划及日常损坏临时修理方案，任意一项有错误但不影响项目实施的，每项扣3分。针对项目目标及方案，项目交货、安装、调试方案及进度表，组织架构及人员保障方案，人员培训计划及日常运维方案任意一项有严重错误将影响项目实施的每项扣5分。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21" w:type="dxa"/>
            <w:vMerge w:val="continue"/>
            <w:vAlign w:val="center"/>
          </w:tcPr>
          <w:p>
            <w:pPr>
              <w:jc w:val="center"/>
              <w:rPr>
                <w:rFonts w:ascii="宋体" w:hAnsi="宋体" w:cs="宋体"/>
                <w:lang w:val="zh-CN"/>
              </w:rPr>
            </w:pPr>
          </w:p>
        </w:tc>
        <w:tc>
          <w:tcPr>
            <w:tcW w:w="665" w:type="dxa"/>
            <w:vMerge w:val="continue"/>
            <w:vAlign w:val="center"/>
          </w:tcPr>
          <w:p>
            <w:pPr>
              <w:jc w:val="center"/>
              <w:rPr>
                <w:rFonts w:ascii="宋体" w:hAnsi="宋体" w:cs="宋体"/>
              </w:rPr>
            </w:pPr>
          </w:p>
        </w:tc>
        <w:tc>
          <w:tcPr>
            <w:tcW w:w="1519" w:type="dxa"/>
            <w:vAlign w:val="center"/>
          </w:tcPr>
          <w:p>
            <w:pPr>
              <w:jc w:val="center"/>
              <w:rPr>
                <w:rFonts w:ascii="宋体" w:hAnsi="宋体" w:cs="宋体"/>
              </w:rPr>
            </w:pPr>
            <w:r>
              <w:rPr>
                <w:rFonts w:hint="eastAsia" w:ascii="宋体" w:hAnsi="宋体" w:cs="宋体"/>
              </w:rPr>
              <w:t>供货安装调试期承诺及保障措施（5分）</w:t>
            </w:r>
          </w:p>
        </w:tc>
        <w:tc>
          <w:tcPr>
            <w:tcW w:w="6284" w:type="dxa"/>
            <w:vAlign w:val="center"/>
          </w:tcPr>
          <w:p>
            <w:pPr>
              <w:rPr>
                <w:rFonts w:ascii="宋体" w:hAnsi="宋体" w:cs="宋体"/>
              </w:rPr>
            </w:pPr>
            <w:r>
              <w:rPr>
                <w:rFonts w:hint="eastAsia" w:ascii="宋体" w:hAnsi="宋体" w:cs="宋体"/>
              </w:rPr>
              <w:t>（1）供货、安装进度计划满足采购人需求，保障措施能够充分满足项目要求，没有错误的得5分；</w:t>
            </w:r>
          </w:p>
          <w:p>
            <w:pPr>
              <w:rPr>
                <w:rFonts w:ascii="宋体" w:hAnsi="宋体" w:cs="宋体"/>
              </w:rPr>
            </w:pPr>
            <w:r>
              <w:rPr>
                <w:rFonts w:hint="eastAsia" w:ascii="宋体" w:hAnsi="宋体" w:cs="宋体"/>
              </w:rPr>
              <w:t>（2）有供货、安装进度计划及保证措施，但有一定的错误，但不影响项目实施的得3分；</w:t>
            </w:r>
          </w:p>
          <w:p>
            <w:pPr>
              <w:rPr>
                <w:rFonts w:ascii="宋体" w:hAnsi="宋体" w:cs="宋体"/>
              </w:rPr>
            </w:pPr>
            <w:r>
              <w:rPr>
                <w:rFonts w:hint="eastAsia" w:ascii="宋体" w:hAnsi="宋体" w:cs="宋体"/>
              </w:rPr>
              <w:t>（3）有供货、安装进度计划及保证措施，但有严重错误，将会影响项目实施的得2分；</w:t>
            </w:r>
          </w:p>
          <w:p>
            <w:pPr>
              <w:rPr>
                <w:rFonts w:ascii="宋体" w:hAnsi="宋体" w:cs="宋体"/>
              </w:rPr>
            </w:pPr>
            <w:r>
              <w:rPr>
                <w:rFonts w:hint="eastAsia" w:ascii="宋体" w:hAnsi="宋体" w:cs="宋体"/>
              </w:rPr>
              <w:t>（4）有供货、安装进度计划，但无保证措施的得1分；</w:t>
            </w:r>
          </w:p>
          <w:p>
            <w:pPr>
              <w:rPr>
                <w:rFonts w:ascii="宋体" w:hAnsi="宋体" w:cs="宋体"/>
              </w:rPr>
            </w:pPr>
            <w:r>
              <w:rPr>
                <w:rFonts w:hint="eastAsia" w:ascii="宋体" w:hAnsi="宋体" w:cs="宋体"/>
              </w:rPr>
              <w:t>（5）无供货安装调试进度计划的得0分。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21" w:type="dxa"/>
            <w:vMerge w:val="continue"/>
            <w:vAlign w:val="center"/>
          </w:tcPr>
          <w:p>
            <w:pPr>
              <w:jc w:val="center"/>
              <w:rPr>
                <w:rFonts w:ascii="宋体" w:hAnsi="宋体" w:cs="宋体"/>
                <w:lang w:val="zh-CN"/>
              </w:rPr>
            </w:pPr>
          </w:p>
        </w:tc>
        <w:tc>
          <w:tcPr>
            <w:tcW w:w="665" w:type="dxa"/>
            <w:vMerge w:val="continue"/>
            <w:vAlign w:val="center"/>
          </w:tcPr>
          <w:p>
            <w:pPr>
              <w:jc w:val="center"/>
              <w:rPr>
                <w:rFonts w:ascii="宋体" w:hAnsi="宋体" w:cs="宋体"/>
              </w:rPr>
            </w:pPr>
          </w:p>
        </w:tc>
        <w:tc>
          <w:tcPr>
            <w:tcW w:w="1519" w:type="dxa"/>
            <w:vAlign w:val="center"/>
          </w:tcPr>
          <w:p>
            <w:pPr>
              <w:jc w:val="center"/>
              <w:rPr>
                <w:rFonts w:ascii="宋体" w:hAnsi="宋体" w:cs="宋体"/>
              </w:rPr>
            </w:pPr>
            <w:r>
              <w:rPr>
                <w:rFonts w:hint="eastAsia" w:ascii="宋体" w:hAnsi="宋体" w:cs="宋体"/>
              </w:rPr>
              <w:t>安全文明施工保证措施（5分）</w:t>
            </w:r>
          </w:p>
        </w:tc>
        <w:tc>
          <w:tcPr>
            <w:tcW w:w="6284" w:type="dxa"/>
            <w:vAlign w:val="center"/>
          </w:tcPr>
          <w:p>
            <w:pPr>
              <w:rPr>
                <w:rFonts w:ascii="宋体" w:hAnsi="宋体" w:cs="宋体"/>
              </w:rPr>
            </w:pPr>
            <w:r>
              <w:rPr>
                <w:rFonts w:hint="eastAsia" w:ascii="宋体" w:hAnsi="宋体" w:cs="宋体"/>
              </w:rPr>
              <w:t>（1）投标文件中有具体、完整、可行的安全文明施工实施保证措施，并符合国家、省、州（市）的有关规定的得5分；</w:t>
            </w:r>
          </w:p>
          <w:p>
            <w:pPr>
              <w:rPr>
                <w:rFonts w:ascii="宋体" w:hAnsi="宋体" w:cs="宋体"/>
              </w:rPr>
            </w:pPr>
            <w:r>
              <w:rPr>
                <w:rFonts w:hint="eastAsia" w:ascii="宋体" w:hAnsi="宋体" w:cs="宋体"/>
              </w:rPr>
              <w:t>（2）投标文件中有安全文明施工实施保证措施，但针对性一般的得3分；</w:t>
            </w:r>
          </w:p>
          <w:p>
            <w:pPr>
              <w:rPr>
                <w:rFonts w:ascii="宋体" w:hAnsi="宋体" w:cs="宋体"/>
              </w:rPr>
            </w:pPr>
            <w:r>
              <w:rPr>
                <w:rFonts w:hint="eastAsia" w:ascii="宋体" w:hAnsi="宋体" w:cs="宋体"/>
              </w:rPr>
              <w:t>（3）投标文件中有安全文明施工实施保证措施存在有缺漏的得2分；</w:t>
            </w:r>
          </w:p>
          <w:p>
            <w:pPr>
              <w:rPr>
                <w:rFonts w:ascii="宋体" w:hAnsi="宋体" w:cs="宋体"/>
              </w:rPr>
            </w:pPr>
            <w:r>
              <w:rPr>
                <w:rFonts w:hint="eastAsia" w:ascii="宋体" w:hAnsi="宋体" w:cs="宋体"/>
              </w:rPr>
              <w:t>（4）没有安全文明施工保证措施的得0分。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21" w:type="dxa"/>
            <w:vMerge w:val="restart"/>
            <w:vAlign w:val="center"/>
          </w:tcPr>
          <w:p>
            <w:pPr>
              <w:jc w:val="center"/>
              <w:rPr>
                <w:rFonts w:ascii="宋体" w:hAnsi="宋体" w:cs="宋体"/>
              </w:rPr>
            </w:pPr>
            <w:r>
              <w:rPr>
                <w:rFonts w:hint="eastAsia" w:ascii="宋体" w:hAnsi="宋体" w:cs="宋体"/>
              </w:rPr>
              <w:t>F3：商务部分</w:t>
            </w:r>
          </w:p>
        </w:tc>
        <w:tc>
          <w:tcPr>
            <w:tcW w:w="665" w:type="dxa"/>
            <w:vMerge w:val="restart"/>
            <w:vAlign w:val="center"/>
          </w:tcPr>
          <w:p>
            <w:pPr>
              <w:jc w:val="center"/>
              <w:rPr>
                <w:rFonts w:ascii="宋体" w:hAnsi="宋体" w:cs="宋体"/>
              </w:rPr>
            </w:pPr>
            <w:r>
              <w:rPr>
                <w:rFonts w:hint="eastAsia" w:ascii="宋体" w:hAnsi="宋体" w:cs="宋体"/>
              </w:rPr>
              <w:t>满分20分</w:t>
            </w:r>
          </w:p>
        </w:tc>
        <w:tc>
          <w:tcPr>
            <w:tcW w:w="1519" w:type="dxa"/>
            <w:vAlign w:val="center"/>
          </w:tcPr>
          <w:p>
            <w:pPr>
              <w:jc w:val="center"/>
              <w:rPr>
                <w:rFonts w:ascii="宋体" w:hAnsi="宋体" w:cs="宋体"/>
              </w:rPr>
            </w:pPr>
            <w:r>
              <w:rPr>
                <w:rFonts w:hint="eastAsia" w:ascii="宋体" w:hAnsi="宋体" w:cs="宋体"/>
              </w:rPr>
              <w:t>质量承诺及保障措施（5分）</w:t>
            </w:r>
          </w:p>
        </w:tc>
        <w:tc>
          <w:tcPr>
            <w:tcW w:w="6284" w:type="dxa"/>
            <w:vAlign w:val="center"/>
          </w:tcPr>
          <w:p>
            <w:pPr>
              <w:rPr>
                <w:rFonts w:ascii="宋体" w:hAnsi="宋体" w:cs="宋体"/>
              </w:rPr>
            </w:pPr>
            <w:r>
              <w:rPr>
                <w:rFonts w:hint="eastAsia" w:ascii="宋体" w:hAnsi="宋体" w:cs="宋体"/>
              </w:rPr>
              <w:t>（1）投标人针对本项目提出的质量承诺及质量保障措施具体、详细，针对性强，可行性强，且有具体的违约责任承诺及处罚措施的得5分。</w:t>
            </w:r>
          </w:p>
          <w:p>
            <w:pPr>
              <w:rPr>
                <w:rFonts w:ascii="宋体" w:hAnsi="宋体" w:cs="宋体"/>
              </w:rPr>
            </w:pPr>
            <w:r>
              <w:rPr>
                <w:rFonts w:hint="eastAsia" w:ascii="宋体" w:hAnsi="宋体" w:cs="宋体"/>
              </w:rPr>
              <w:t>（2）投标人针对本项目提出的质量承诺及质量保障措施基本完整，具有简单的针对性和可行性，违约责任承诺及处罚措施一般的得3分。</w:t>
            </w:r>
          </w:p>
          <w:p>
            <w:pPr>
              <w:rPr>
                <w:rFonts w:ascii="宋体" w:hAnsi="宋体" w:cs="宋体"/>
              </w:rPr>
            </w:pPr>
            <w:r>
              <w:rPr>
                <w:rFonts w:hint="eastAsia" w:ascii="宋体" w:hAnsi="宋体" w:cs="宋体"/>
              </w:rPr>
              <w:t>（3）投标人针对本项目提出的质量承诺及质量保障措施缺乏针对性，缺乏可行性，违约责任承诺处罚措施不具体的得1分。</w:t>
            </w:r>
          </w:p>
          <w:p>
            <w:pPr>
              <w:rPr>
                <w:rFonts w:ascii="宋体" w:hAnsi="宋体" w:cs="宋体"/>
              </w:rPr>
            </w:pPr>
            <w:r>
              <w:rPr>
                <w:rFonts w:hint="eastAsia" w:ascii="宋体" w:hAnsi="宋体" w:cs="宋体"/>
              </w:rPr>
              <w:t>（4）未提供质量承诺及质量保障措施的得0分。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21" w:type="dxa"/>
            <w:vMerge w:val="continue"/>
            <w:vAlign w:val="center"/>
          </w:tcPr>
          <w:p>
            <w:pPr>
              <w:jc w:val="center"/>
              <w:rPr>
                <w:rFonts w:ascii="宋体" w:hAnsi="宋体" w:cs="宋体"/>
                <w:lang w:val="zh-CN"/>
              </w:rPr>
            </w:pPr>
          </w:p>
        </w:tc>
        <w:tc>
          <w:tcPr>
            <w:tcW w:w="665" w:type="dxa"/>
            <w:vMerge w:val="continue"/>
            <w:vAlign w:val="center"/>
          </w:tcPr>
          <w:p>
            <w:pPr>
              <w:jc w:val="center"/>
              <w:rPr>
                <w:rFonts w:ascii="宋体" w:hAnsi="宋体" w:cs="宋体"/>
              </w:rPr>
            </w:pPr>
          </w:p>
        </w:tc>
        <w:tc>
          <w:tcPr>
            <w:tcW w:w="1519" w:type="dxa"/>
            <w:vAlign w:val="center"/>
          </w:tcPr>
          <w:p>
            <w:pPr>
              <w:jc w:val="center"/>
              <w:rPr>
                <w:rFonts w:ascii="宋体" w:hAnsi="宋体" w:cs="宋体"/>
              </w:rPr>
            </w:pPr>
            <w:r>
              <w:rPr>
                <w:rFonts w:hint="eastAsia" w:ascii="宋体" w:hAnsi="宋体" w:cs="宋体"/>
              </w:rPr>
              <w:t>质保期（2分）</w:t>
            </w:r>
          </w:p>
        </w:tc>
        <w:tc>
          <w:tcPr>
            <w:tcW w:w="6284" w:type="dxa"/>
            <w:vAlign w:val="center"/>
          </w:tcPr>
          <w:p>
            <w:pPr>
              <w:rPr>
                <w:rFonts w:ascii="宋体" w:hAnsi="宋体" w:cs="宋体"/>
              </w:rPr>
            </w:pPr>
            <w:r>
              <w:rPr>
                <w:rFonts w:hint="eastAsia" w:ascii="宋体" w:hAnsi="宋体" w:cs="宋体"/>
              </w:rPr>
              <w:t>投标人质保期满足招标文件要求五年的情况下得1分，每多1年的加0.5分，分数加满为止。（满分2分）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21" w:type="dxa"/>
            <w:vMerge w:val="continue"/>
            <w:vAlign w:val="center"/>
          </w:tcPr>
          <w:p>
            <w:pPr>
              <w:jc w:val="center"/>
              <w:rPr>
                <w:rFonts w:ascii="宋体" w:hAnsi="宋体" w:cs="宋体"/>
                <w:lang w:val="zh-CN"/>
              </w:rPr>
            </w:pPr>
          </w:p>
        </w:tc>
        <w:tc>
          <w:tcPr>
            <w:tcW w:w="665" w:type="dxa"/>
            <w:vMerge w:val="continue"/>
            <w:vAlign w:val="center"/>
          </w:tcPr>
          <w:p>
            <w:pPr>
              <w:jc w:val="center"/>
              <w:rPr>
                <w:rFonts w:ascii="宋体" w:hAnsi="宋体" w:cs="宋体"/>
              </w:rPr>
            </w:pPr>
          </w:p>
        </w:tc>
        <w:tc>
          <w:tcPr>
            <w:tcW w:w="1519" w:type="dxa"/>
            <w:vAlign w:val="center"/>
          </w:tcPr>
          <w:p>
            <w:pPr>
              <w:jc w:val="center"/>
              <w:rPr>
                <w:rFonts w:ascii="宋体" w:hAnsi="宋体" w:cs="宋体"/>
              </w:rPr>
            </w:pPr>
            <w:r>
              <w:rPr>
                <w:rFonts w:hint="eastAsia" w:ascii="宋体" w:hAnsi="宋体" w:cs="宋体"/>
              </w:rPr>
              <w:t>售后服务方案（8分）</w:t>
            </w:r>
          </w:p>
        </w:tc>
        <w:tc>
          <w:tcPr>
            <w:tcW w:w="6284" w:type="dxa"/>
            <w:vAlign w:val="center"/>
          </w:tcPr>
          <w:p>
            <w:pPr>
              <w:rPr>
                <w:rFonts w:ascii="宋体" w:hAnsi="宋体" w:cs="宋体"/>
              </w:rPr>
            </w:pPr>
            <w:r>
              <w:rPr>
                <w:rFonts w:hint="eastAsia" w:ascii="宋体" w:hAnsi="宋体" w:cs="宋体"/>
              </w:rPr>
              <w:t>1、售后服务地点（2分）</w:t>
            </w:r>
          </w:p>
          <w:p>
            <w:pPr>
              <w:rPr>
                <w:rFonts w:ascii="宋体" w:hAnsi="宋体" w:cs="宋体"/>
              </w:rPr>
            </w:pPr>
            <w:r>
              <w:rPr>
                <w:rFonts w:hint="eastAsia" w:ascii="宋体" w:hAnsi="宋体" w:cs="宋体"/>
              </w:rPr>
              <w:t>有具体的售后服务地点、联系人、联系电话，并且承诺该地点在质保期内不变动的得2分。</w:t>
            </w:r>
          </w:p>
          <w:p>
            <w:pPr>
              <w:rPr>
                <w:rFonts w:ascii="宋体" w:hAnsi="宋体" w:cs="宋体"/>
              </w:rPr>
            </w:pPr>
            <w:r>
              <w:rPr>
                <w:rFonts w:hint="eastAsia" w:ascii="宋体" w:hAnsi="宋体" w:cs="宋体"/>
              </w:rPr>
              <w:t>2、售后服务响应方案（4分）</w:t>
            </w:r>
          </w:p>
          <w:p>
            <w:pPr>
              <w:rPr>
                <w:rFonts w:ascii="宋体" w:hAnsi="宋体" w:cs="宋体"/>
              </w:rPr>
            </w:pPr>
            <w:r>
              <w:rPr>
                <w:rFonts w:hint="eastAsia" w:ascii="宋体" w:hAnsi="宋体" w:cs="宋体"/>
              </w:rPr>
              <w:t>有具体的售后服务响应方案，响应方案至少包括响应时间、突发应急事件处理方案的得4分。</w:t>
            </w:r>
          </w:p>
          <w:p>
            <w:pPr>
              <w:rPr>
                <w:rFonts w:ascii="宋体" w:hAnsi="宋体" w:cs="宋体"/>
              </w:rPr>
            </w:pPr>
            <w:r>
              <w:rPr>
                <w:rFonts w:hint="eastAsia" w:ascii="宋体" w:hAnsi="宋体" w:cs="宋体"/>
              </w:rPr>
              <w:t>不具备响应时间或突发应急事件处理方案的每项扣2分，响应时间有逻辑表述错误的扣1分，突发应急事件处理方案有逻辑错误的扣1分，分数扣完为止。</w:t>
            </w:r>
          </w:p>
          <w:p>
            <w:pPr>
              <w:rPr>
                <w:rFonts w:ascii="宋体" w:hAnsi="宋体" w:cs="宋体"/>
              </w:rPr>
            </w:pPr>
          </w:p>
          <w:p>
            <w:pPr>
              <w:rPr>
                <w:rFonts w:ascii="宋体" w:hAnsi="宋体" w:cs="宋体"/>
              </w:rPr>
            </w:pPr>
            <w:r>
              <w:rPr>
                <w:rFonts w:hint="eastAsia" w:ascii="宋体" w:hAnsi="宋体" w:cs="宋体"/>
              </w:rPr>
              <w:t>3、售后人员配备（2分）</w:t>
            </w:r>
          </w:p>
          <w:p>
            <w:pPr>
              <w:rPr>
                <w:rFonts w:ascii="宋体" w:hAnsi="宋体" w:cs="宋体"/>
              </w:rPr>
            </w:pPr>
            <w:r>
              <w:rPr>
                <w:rFonts w:hint="eastAsia" w:ascii="宋体" w:hAnsi="宋体" w:cs="宋体"/>
              </w:rPr>
              <w:t>具备1名售后服务人员的基本分1分，每多1人加0.5分，满分2分。（须提供本企业社保证明，否则不予认可）。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21" w:type="dxa"/>
            <w:vMerge w:val="continue"/>
            <w:vAlign w:val="center"/>
          </w:tcPr>
          <w:p>
            <w:pPr>
              <w:jc w:val="center"/>
              <w:rPr>
                <w:rFonts w:ascii="宋体" w:hAnsi="宋体" w:cs="宋体"/>
                <w:lang w:val="zh-CN"/>
              </w:rPr>
            </w:pPr>
          </w:p>
        </w:tc>
        <w:tc>
          <w:tcPr>
            <w:tcW w:w="665" w:type="dxa"/>
            <w:vMerge w:val="continue"/>
            <w:vAlign w:val="center"/>
          </w:tcPr>
          <w:p>
            <w:pPr>
              <w:jc w:val="center"/>
              <w:rPr>
                <w:rFonts w:ascii="宋体" w:hAnsi="宋体" w:cs="宋体"/>
              </w:rPr>
            </w:pPr>
          </w:p>
        </w:tc>
        <w:tc>
          <w:tcPr>
            <w:tcW w:w="1519" w:type="dxa"/>
            <w:vAlign w:val="center"/>
          </w:tcPr>
          <w:p>
            <w:pPr>
              <w:jc w:val="center"/>
              <w:rPr>
                <w:rFonts w:ascii="宋体" w:hAnsi="宋体" w:cs="宋体"/>
              </w:rPr>
            </w:pPr>
            <w:r>
              <w:rPr>
                <w:rFonts w:hint="eastAsia" w:ascii="宋体" w:hAnsi="宋体" w:cs="宋体"/>
              </w:rPr>
              <w:t>类似业绩（5分）</w:t>
            </w:r>
          </w:p>
        </w:tc>
        <w:tc>
          <w:tcPr>
            <w:tcW w:w="6284" w:type="dxa"/>
            <w:vAlign w:val="center"/>
          </w:tcPr>
          <w:p>
            <w:pPr>
              <w:rPr>
                <w:rFonts w:ascii="宋体" w:hAnsi="宋体" w:cs="宋体"/>
              </w:rPr>
            </w:pPr>
            <w:r>
              <w:rPr>
                <w:rFonts w:hint="eastAsia" w:ascii="宋体" w:hAnsi="宋体" w:cs="宋体"/>
              </w:rPr>
              <w:t>投标人或拟投产品品牌2019年至今每完成过1项类似供货安装业绩的得3分，每多增加1项加1分，分数加满为止。（满分5分）</w:t>
            </w:r>
          </w:p>
        </w:tc>
      </w:tr>
    </w:tbl>
    <w:p>
      <w:pPr>
        <w:pStyle w:val="29"/>
        <w:ind w:firstLine="400" w:firstLineChars="200"/>
        <w:jc w:val="left"/>
        <w:rPr>
          <w:rFonts w:ascii="宋体" w:hAnsi="宋体" w:cs="宋体"/>
        </w:rPr>
      </w:pPr>
      <w:bookmarkStart w:id="22" w:name="_GoBack"/>
      <w:bookmarkEnd w:id="22"/>
    </w:p>
    <w:sectPr>
      <w:footerReference r:id="rId6" w:type="default"/>
      <w:pgSz w:w="11906" w:h="16838"/>
      <w:pgMar w:top="1440" w:right="1080" w:bottom="1440" w:left="1080" w:header="851" w:footer="992" w:gutter="0"/>
      <w:pgNumType w:fmt="numberInDash" w:start="1"/>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603F01FF" w:csb1="FFFF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873"/>
        <w:tab w:val="clear" w:pos="4153"/>
        <w:tab w:val="clear" w:pos="830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1"/>
      </w:pBdr>
      <w:tabs>
        <w:tab w:val="center" w:pos="4706"/>
        <w:tab w:val="left" w:pos="9000"/>
        <w:tab w:val="right" w:pos="9540"/>
        <w:tab w:val="clear" w:pos="8306"/>
      </w:tabs>
      <w:spacing w:line="360" w:lineRule="auto"/>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6021705" cy="2787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021705"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Bdr>
                              <w:top w:val="single" w:color="auto" w:sz="4" w:space="1"/>
                            </w:pBdr>
                            <w:tabs>
                              <w:tab w:val="center" w:pos="4706"/>
                              <w:tab w:val="left" w:pos="9000"/>
                              <w:tab w:val="right" w:pos="9540"/>
                              <w:tab w:val="clear" w:pos="8306"/>
                            </w:tabs>
                            <w:spacing w:line="360" w:lineRule="auto"/>
                          </w:pPr>
                          <w:r>
                            <w:rPr>
                              <w:rFonts w:hint="eastAsia" w:ascii="宋体" w:hAnsi="宋体"/>
                              <w:b/>
                              <w:bCs/>
                              <w:color w:val="000000"/>
                              <w:sz w:val="21"/>
                              <w:szCs w:val="21"/>
                            </w:rPr>
                            <w:t xml:space="preserve">云南润诚管理咨询有限责任公司 </w:t>
                          </w:r>
                          <w:r>
                            <w:rPr>
                              <w:rFonts w:hint="eastAsia" w:ascii="宋体" w:hAnsi="宋体"/>
                              <w:b/>
                              <w:bCs/>
                              <w:sz w:val="21"/>
                              <w:szCs w:val="21"/>
                            </w:rPr>
                            <w:t xml:space="preserve">                                                     </w:t>
                          </w:r>
                          <w:r>
                            <w:rPr>
                              <w:rFonts w:ascii="宋体" w:hAnsi="宋体"/>
                              <w:b/>
                              <w:bCs/>
                              <w:sz w:val="21"/>
                              <w:szCs w:val="21"/>
                            </w:rPr>
                            <w:fldChar w:fldCharType="begin"/>
                          </w:r>
                          <w:r>
                            <w:rPr>
                              <w:rStyle w:val="19"/>
                              <w:b/>
                              <w:bCs/>
                              <w:sz w:val="21"/>
                              <w:szCs w:val="21"/>
                            </w:rPr>
                            <w:instrText xml:space="preserve"> PAGE </w:instrText>
                          </w:r>
                          <w:r>
                            <w:rPr>
                              <w:rFonts w:ascii="宋体" w:hAnsi="宋体"/>
                              <w:b/>
                              <w:bCs/>
                              <w:sz w:val="21"/>
                              <w:szCs w:val="21"/>
                            </w:rPr>
                            <w:fldChar w:fldCharType="separate"/>
                          </w:r>
                          <w:r>
                            <w:rPr>
                              <w:rFonts w:ascii="宋体" w:hAnsi="宋体"/>
                              <w:b/>
                              <w:bCs/>
                              <w:szCs w:val="21"/>
                            </w:rPr>
                            <w:t>- 1 -</w:t>
                          </w:r>
                          <w:r>
                            <w:rPr>
                              <w:rFonts w:ascii="宋体" w:hAnsi="宋体"/>
                              <w:b/>
                              <w:bCs/>
                              <w:sz w:val="21"/>
                              <w:szCs w:val="21"/>
                            </w:rPr>
                            <w:fldChar w:fldCharType="end"/>
                          </w:r>
                        </w:p>
                      </w:txbxContent>
                    </wps:txbx>
                    <wps:bodyPr rot="0" spcFirstLastPara="0" vertOverflow="overflow" horzOverflow="overflow" vert="horz" wrap="square" lIns="0" tIns="0" rIns="0" bIns="0" numCol="1" spcCol="0" rtlCol="0" fromWordArt="0" anchor="t" anchorCtr="0" forceAA="0" compatLnSpc="1"/>
                  </wps:wsp>
                </a:graphicData>
              </a:graphic>
            </wp:anchor>
          </w:drawing>
        </mc:Choice>
        <mc:Fallback>
          <w:pict>
            <v:shape id="_x0000_s1026" o:spid="_x0000_s1026" o:spt="202" type="#_x0000_t202" style="position:absolute;left:0pt;margin-top:0pt;height:21.95pt;width:474.15pt;mso-position-horizontal:left;mso-position-horizontal-relative:margin;z-index:251659264;mso-width-relative:page;mso-height-relative:page;" filled="f" stroked="f" coordsize="21600,21600" o:gfxdata="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qv&#10;n+jVAAAABAEAAA8AAAAAAAAAAQAgAAAAIgAAAGRycy9kb3ducmV2LnhtbFBLAQIUABQAAAAIAIdO&#10;4kCF1sFrJgIAADwEAAAOAAAAAAAAAAEAIAAAACQBAABkcnMvZTJvRG9jLnhtbFBLBQYAAAAABgAG&#10;AFkBAAC8BQAAAAA=&#10;">
              <v:fill on="f" focussize="0,0"/>
              <v:stroke on="f" weight="0.5pt"/>
              <v:imagedata o:title=""/>
              <o:lock v:ext="edit" aspectratio="f"/>
              <v:textbox inset="0mm,0mm,0mm,0mm">
                <w:txbxContent>
                  <w:p>
                    <w:pPr>
                      <w:pStyle w:val="9"/>
                      <w:pBdr>
                        <w:top w:val="single" w:color="auto" w:sz="4" w:space="1"/>
                      </w:pBdr>
                      <w:tabs>
                        <w:tab w:val="center" w:pos="4706"/>
                        <w:tab w:val="left" w:pos="9000"/>
                        <w:tab w:val="right" w:pos="9540"/>
                        <w:tab w:val="clear" w:pos="8306"/>
                      </w:tabs>
                      <w:spacing w:line="360" w:lineRule="auto"/>
                    </w:pPr>
                    <w:r>
                      <w:rPr>
                        <w:rFonts w:hint="eastAsia" w:ascii="宋体" w:hAnsi="宋体"/>
                        <w:b/>
                        <w:bCs/>
                        <w:color w:val="000000"/>
                        <w:sz w:val="21"/>
                        <w:szCs w:val="21"/>
                      </w:rPr>
                      <w:t xml:space="preserve">云南润诚管理咨询有限责任公司 </w:t>
                    </w:r>
                    <w:r>
                      <w:rPr>
                        <w:rFonts w:hint="eastAsia" w:ascii="宋体" w:hAnsi="宋体"/>
                        <w:b/>
                        <w:bCs/>
                        <w:sz w:val="21"/>
                        <w:szCs w:val="21"/>
                      </w:rPr>
                      <w:t xml:space="preserve">                                                     </w:t>
                    </w:r>
                    <w:r>
                      <w:rPr>
                        <w:rFonts w:ascii="宋体" w:hAnsi="宋体"/>
                        <w:b/>
                        <w:bCs/>
                        <w:sz w:val="21"/>
                        <w:szCs w:val="21"/>
                      </w:rPr>
                      <w:fldChar w:fldCharType="begin"/>
                    </w:r>
                    <w:r>
                      <w:rPr>
                        <w:rStyle w:val="19"/>
                        <w:b/>
                        <w:bCs/>
                        <w:sz w:val="21"/>
                        <w:szCs w:val="21"/>
                      </w:rPr>
                      <w:instrText xml:space="preserve"> PAGE </w:instrText>
                    </w:r>
                    <w:r>
                      <w:rPr>
                        <w:rFonts w:ascii="宋体" w:hAnsi="宋体"/>
                        <w:b/>
                        <w:bCs/>
                        <w:sz w:val="21"/>
                        <w:szCs w:val="21"/>
                      </w:rPr>
                      <w:fldChar w:fldCharType="separate"/>
                    </w:r>
                    <w:r>
                      <w:rPr>
                        <w:rFonts w:ascii="宋体" w:hAnsi="宋体"/>
                        <w:b/>
                        <w:bCs/>
                        <w:szCs w:val="21"/>
                      </w:rPr>
                      <w:t>- 1 -</w:t>
                    </w:r>
                    <w:r>
                      <w:rPr>
                        <w:rFonts w:ascii="宋体" w:hAnsi="宋体"/>
                        <w:b/>
                        <w:bCs/>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ascii="宋体" w:hAnsi="宋体" w:cs="宋体"/>
        <w:sz w:val="21"/>
        <w:szCs w:val="21"/>
      </w:rPr>
    </w:pPr>
    <w:r>
      <w:rPr>
        <w:rFonts w:hint="eastAsia" w:ascii="宋体" w:hAnsi="宋体" w:cs="宋体"/>
        <w:sz w:val="21"/>
        <w:szCs w:val="21"/>
      </w:rPr>
      <w:t>昆明高新区学校品质提升工程（高新区各公办学校护眼灯更换）一标段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65782"/>
    <w:multiLevelType w:val="singleLevel"/>
    <w:tmpl w:val="20865782"/>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1ZDJiNzRjYTc1ZTUwNTBhNjM3YzUyYTRmMmQyNGUifQ=="/>
  </w:docVars>
  <w:rsids>
    <w:rsidRoot w:val="79C11C4F"/>
    <w:rsid w:val="0002286A"/>
    <w:rsid w:val="00130A48"/>
    <w:rsid w:val="00142E63"/>
    <w:rsid w:val="00254908"/>
    <w:rsid w:val="002848C0"/>
    <w:rsid w:val="00314B2E"/>
    <w:rsid w:val="003A7DBA"/>
    <w:rsid w:val="005C00E2"/>
    <w:rsid w:val="006B103F"/>
    <w:rsid w:val="00821748"/>
    <w:rsid w:val="00890E2F"/>
    <w:rsid w:val="008D459F"/>
    <w:rsid w:val="00983808"/>
    <w:rsid w:val="009C41DC"/>
    <w:rsid w:val="00C63EB5"/>
    <w:rsid w:val="00C70400"/>
    <w:rsid w:val="00CD7501"/>
    <w:rsid w:val="00D13FE5"/>
    <w:rsid w:val="00E72E27"/>
    <w:rsid w:val="00F43C2C"/>
    <w:rsid w:val="012467D3"/>
    <w:rsid w:val="023D184D"/>
    <w:rsid w:val="026B7F94"/>
    <w:rsid w:val="03F701E7"/>
    <w:rsid w:val="063114D0"/>
    <w:rsid w:val="06905B7D"/>
    <w:rsid w:val="07D917E7"/>
    <w:rsid w:val="09620C47"/>
    <w:rsid w:val="0A726127"/>
    <w:rsid w:val="0BFB5DB4"/>
    <w:rsid w:val="0EF527A1"/>
    <w:rsid w:val="14166A2E"/>
    <w:rsid w:val="16173ADC"/>
    <w:rsid w:val="1A8121B4"/>
    <w:rsid w:val="1B8C5349"/>
    <w:rsid w:val="1F531125"/>
    <w:rsid w:val="22F24362"/>
    <w:rsid w:val="2C886573"/>
    <w:rsid w:val="2E670C7D"/>
    <w:rsid w:val="32A357D8"/>
    <w:rsid w:val="37797999"/>
    <w:rsid w:val="3A1E0D7E"/>
    <w:rsid w:val="3D4177DB"/>
    <w:rsid w:val="3D8B4BC3"/>
    <w:rsid w:val="3E4D6928"/>
    <w:rsid w:val="412E582B"/>
    <w:rsid w:val="426E308D"/>
    <w:rsid w:val="432161A9"/>
    <w:rsid w:val="46CA6314"/>
    <w:rsid w:val="47C04CB5"/>
    <w:rsid w:val="49D31370"/>
    <w:rsid w:val="4B71463B"/>
    <w:rsid w:val="4FF976EF"/>
    <w:rsid w:val="509A54E0"/>
    <w:rsid w:val="51105C5D"/>
    <w:rsid w:val="5F6230E0"/>
    <w:rsid w:val="65DC7B9F"/>
    <w:rsid w:val="66493FD3"/>
    <w:rsid w:val="675B4115"/>
    <w:rsid w:val="676A4C2E"/>
    <w:rsid w:val="6A156800"/>
    <w:rsid w:val="717D10ED"/>
    <w:rsid w:val="73254C7A"/>
    <w:rsid w:val="733F080C"/>
    <w:rsid w:val="79C11C4F"/>
    <w:rsid w:val="7B295957"/>
    <w:rsid w:val="7EDC7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line="360" w:lineRule="auto"/>
      <w:outlineLvl w:val="0"/>
    </w:pPr>
    <w:rPr>
      <w:b/>
      <w:bCs/>
      <w:kern w:val="44"/>
      <w:sz w:val="20"/>
      <w:szCs w:val="20"/>
    </w:rPr>
  </w:style>
  <w:style w:type="paragraph" w:styleId="4">
    <w:name w:val="heading 3"/>
    <w:basedOn w:val="1"/>
    <w:next w:val="1"/>
    <w:qFormat/>
    <w:uiPriority w:val="9"/>
    <w:pPr>
      <w:keepNext/>
      <w:keepLines/>
      <w:spacing w:line="360" w:lineRule="auto"/>
      <w:outlineLvl w:val="2"/>
    </w:pPr>
    <w:rPr>
      <w:b/>
      <w:bCs/>
      <w:kern w:val="0"/>
      <w:sz w:val="20"/>
      <w:szCs w:val="20"/>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next w:val="1"/>
    <w:qFormat/>
    <w:uiPriority w:val="0"/>
    <w:pPr>
      <w:ind w:firstLine="420"/>
    </w:pPr>
  </w:style>
  <w:style w:type="paragraph" w:styleId="6">
    <w:name w:val="Body Text Indent"/>
    <w:basedOn w:val="1"/>
    <w:qFormat/>
    <w:uiPriority w:val="99"/>
    <w:pPr>
      <w:widowControl/>
      <w:spacing w:after="120"/>
      <w:ind w:left="200" w:leftChars="200"/>
      <w:jc w:val="left"/>
    </w:pPr>
    <w:rPr>
      <w:kern w:val="0"/>
      <w:sz w:val="20"/>
      <w:szCs w:val="20"/>
    </w:rPr>
  </w:style>
  <w:style w:type="paragraph" w:styleId="7">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8">
    <w:name w:val="Plain Text"/>
    <w:basedOn w:val="1"/>
    <w:next w:val="1"/>
    <w:qFormat/>
    <w:uiPriority w:val="0"/>
    <w:rPr>
      <w:rFonts w:ascii="宋体" w:hAnsi="Courier New"/>
      <w:kern w:val="0"/>
      <w:sz w:val="24"/>
      <w:szCs w:val="24"/>
    </w:rPr>
  </w:style>
  <w:style w:type="paragraph" w:styleId="9">
    <w:name w:val="footer"/>
    <w:basedOn w:val="1"/>
    <w:qFormat/>
    <w:uiPriority w:val="99"/>
    <w:pPr>
      <w:tabs>
        <w:tab w:val="center" w:pos="4153"/>
        <w:tab w:val="right" w:pos="8306"/>
      </w:tabs>
      <w:snapToGrid w:val="0"/>
      <w:jc w:val="left"/>
    </w:pPr>
    <w:rPr>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2">
    <w:name w:val="Body Text Indent 3"/>
    <w:basedOn w:val="1"/>
    <w:qFormat/>
    <w:uiPriority w:val="0"/>
    <w:pPr>
      <w:spacing w:line="400" w:lineRule="exact"/>
      <w:ind w:left="360"/>
    </w:pPr>
    <w:rPr>
      <w:sz w:val="24"/>
    </w:rPr>
  </w:style>
  <w:style w:type="paragraph" w:styleId="13">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6"/>
    <w:qFormat/>
    <w:uiPriority w:val="99"/>
    <w:pPr>
      <w:widowControl w:val="0"/>
      <w:tabs>
        <w:tab w:val="left" w:pos="547"/>
      </w:tabs>
      <w:spacing w:line="360" w:lineRule="auto"/>
      <w:ind w:left="420" w:firstLine="420" w:firstLineChars="200"/>
      <w:jc w:val="center"/>
    </w:pPr>
    <w:rPr>
      <w:rFonts w:ascii="宋体"/>
      <w:b/>
      <w:bCs/>
      <w:color w:val="000000"/>
      <w:sz w:val="52"/>
      <w:szCs w:val="52"/>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unhideWhenUsed/>
    <w:qFormat/>
    <w:uiPriority w:val="99"/>
    <w:rPr>
      <w:color w:val="0000FF"/>
      <w:u w:val="single"/>
    </w:rPr>
  </w:style>
  <w:style w:type="paragraph" w:customStyle="1" w:styleId="21">
    <w:name w:val="列出段落1"/>
    <w:basedOn w:val="1"/>
    <w:qFormat/>
    <w:uiPriority w:val="34"/>
    <w:pPr>
      <w:ind w:firstLine="420" w:firstLineChars="200"/>
    </w:pPr>
    <w:rPr>
      <w:rFonts w:ascii="Calibri" w:hAnsi="Calibri"/>
      <w:szCs w:val="22"/>
    </w:rPr>
  </w:style>
  <w:style w:type="paragraph" w:customStyle="1" w:styleId="22">
    <w:name w:val="【正文】"/>
    <w:basedOn w:val="1"/>
    <w:qFormat/>
    <w:uiPriority w:val="0"/>
    <w:pPr>
      <w:widowControl/>
      <w:ind w:firstLine="200"/>
    </w:pPr>
    <w:rPr>
      <w:rFonts w:ascii="Calibri" w:hAnsi="Calibri" w:cs="Calibri"/>
    </w:rPr>
  </w:style>
  <w:style w:type="paragraph" w:customStyle="1" w:styleId="23">
    <w:name w:val="段"/>
    <w:next w:val="1"/>
    <w:qFormat/>
    <w:uiPriority w:val="0"/>
    <w:pPr>
      <w:autoSpaceDE w:val="0"/>
      <w:autoSpaceDN w:val="0"/>
      <w:ind w:firstLine="200" w:firstLineChars="200"/>
      <w:jc w:val="both"/>
    </w:pPr>
    <w:rPr>
      <w:rFonts w:ascii="宋体" w:hAnsi="Times New Roman" w:eastAsia="宋体" w:cs="Calibri"/>
      <w:sz w:val="21"/>
      <w:lang w:val="en-US" w:eastAsia="zh-CN" w:bidi="ar-SA"/>
    </w:rPr>
  </w:style>
  <w:style w:type="paragraph" w:customStyle="1" w:styleId="2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5">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26">
    <w:name w:val="标题 3 字符"/>
    <w:qFormat/>
    <w:locked/>
    <w:uiPriority w:val="9"/>
    <w:rPr>
      <w:rFonts w:ascii="Times New Roman" w:hAnsi="Times New Roman" w:eastAsia="宋体" w:cs="Times New Roman"/>
      <w:b/>
      <w:bCs/>
      <w:sz w:val="20"/>
      <w:szCs w:val="20"/>
    </w:rPr>
  </w:style>
  <w:style w:type="character" w:customStyle="1" w:styleId="27">
    <w:name w:val="无"/>
    <w:qFormat/>
    <w:uiPriority w:val="0"/>
  </w:style>
  <w:style w:type="paragraph" w:customStyle="1" w:styleId="2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_0"/>
    <w:qFormat/>
    <w:uiPriority w:val="0"/>
    <w:pPr>
      <w:widowControl w:val="0"/>
      <w:jc w:val="both"/>
    </w:pPr>
    <w:rPr>
      <w:rFonts w:ascii="Calibri" w:hAnsi="Calibri" w:eastAsia="宋体" w:cs="Times New Roman"/>
      <w:lang w:val="en-US" w:eastAsia="zh-CN" w:bidi="ar-SA"/>
    </w:rPr>
  </w:style>
  <w:style w:type="paragraph" w:customStyle="1" w:styleId="30">
    <w:name w:val="正文_1"/>
    <w:qFormat/>
    <w:uiPriority w:val="0"/>
    <w:pPr>
      <w:widowControl w:val="0"/>
      <w:spacing w:after="200" w:line="276" w:lineRule="auto"/>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昆明市直属党政机关单位</Company>
  <Pages>71</Pages>
  <Words>41406</Words>
  <Characters>45354</Characters>
  <Lines>380</Lines>
  <Paragraphs>107</Paragraphs>
  <TotalTime>0</TotalTime>
  <ScaleCrop>false</ScaleCrop>
  <LinksUpToDate>false</LinksUpToDate>
  <CharactersWithSpaces>46970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2022-08-10T02:41:00Z</dcterms:created>
  <dc:creator>七色青山</dc:creator>
  <cp:lastModifiedBy>曾曾</cp:lastModifiedBy>
  <dcterms:modified xsi:type="dcterms:W3CDTF">2022-11-14T02:27:22Z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B9BA85107087433E91E3BB2394EEC9C6</vt:lpwstr>
  </property>
  <property fmtid="{D5CDD505-2E9C-101B-9397-08002B2CF9AE}" pid="3" name="KSOProductBuildVer">
    <vt:lpwstr>2052-11.1.0.12763</vt:lpwstr>
  </property>
</Properties>
</file>